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FB04" w14:textId="130CD0C9" w:rsidR="00132B08" w:rsidRPr="009C5A9F" w:rsidRDefault="00A56B04" w:rsidP="00132B08">
      <w:pPr>
        <w:pStyle w:val="Nadpis1"/>
        <w:jc w:val="both"/>
        <w:rPr>
          <w:rFonts w:ascii="Verdana" w:hAnsi="Verdana"/>
          <w:sz w:val="28"/>
          <w:szCs w:val="28"/>
        </w:rPr>
      </w:pPr>
      <w:r w:rsidRPr="009C5A9F">
        <w:rPr>
          <w:rFonts w:ascii="Verdana" w:hAnsi="Verdana"/>
          <w:noProof/>
          <w:sz w:val="28"/>
          <w:szCs w:val="28"/>
        </w:rPr>
        <mc:AlternateContent>
          <mc:Choice Requires="wps">
            <w:drawing>
              <wp:anchor distT="45720" distB="107950" distL="114300" distR="114300" simplePos="0" relativeHeight="251589632" behindDoc="0" locked="0" layoutInCell="1" allowOverlap="1" wp14:anchorId="7037499E" wp14:editId="54078C9B">
                <wp:simplePos x="0" y="0"/>
                <wp:positionH relativeFrom="margin">
                  <wp:align>left</wp:align>
                </wp:positionH>
                <wp:positionV relativeFrom="paragraph">
                  <wp:posOffset>589915</wp:posOffset>
                </wp:positionV>
                <wp:extent cx="3084830" cy="2077720"/>
                <wp:effectExtent l="0" t="0" r="127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077720"/>
                        </a:xfrm>
                        <a:prstGeom prst="rect">
                          <a:avLst/>
                        </a:prstGeom>
                        <a:gradFill flip="none" rotWithShape="1">
                          <a:gsLst>
                            <a:gs pos="0">
                              <a:srgbClr val="FFC832"/>
                            </a:gs>
                            <a:gs pos="100000">
                              <a:srgbClr val="FFD82C">
                                <a:alpha val="15000"/>
                              </a:srgbClr>
                            </a:gs>
                          </a:gsLst>
                          <a:lin ang="18900000" scaled="1"/>
                          <a:tileRect/>
                        </a:gradFill>
                        <a:ln w="3175" cap="flat">
                          <a:noFill/>
                          <a:miter lim="800000"/>
                          <a:headEnd/>
                          <a:tailEnd/>
                        </a:ln>
                      </wps:spPr>
                      <wps:txbx>
                        <w:txbxContent>
                          <w:p w14:paraId="24AE1AD1" w14:textId="03297F51" w:rsidR="004A223B" w:rsidRDefault="00452CA6"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Česko patřilo v nedávné inflační vlně mezi nejhůře zasažené země EU</w:t>
                            </w:r>
                          </w:p>
                          <w:p w14:paraId="6A05FFF8" w14:textId="65A75C69" w:rsidR="00452CA6" w:rsidRDefault="00EE34FE"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Inflačními premianty</w:t>
                            </w:r>
                            <w:r w:rsidR="00452CA6">
                              <w:rPr>
                                <w:rFonts w:ascii="Verdana" w:hAnsi="Verdana"/>
                                <w:sz w:val="20"/>
                              </w:rPr>
                              <w:t xml:space="preserve"> ovšem nebyly často diskutované potraviny, zemní plyn či pohonné hmoty</w:t>
                            </w:r>
                          </w:p>
                          <w:p w14:paraId="42BCB2BF" w14:textId="42C2CF93" w:rsidR="00452CA6" w:rsidRDefault="00452CA6"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Evropským inflačním statistikám Česko dominovalo spíše v kategoriích, jako jsou oděvy, bytový textil, audiovizuální technika či ubytovací služby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7499E" id="_x0000_t202" coordsize="21600,21600" o:spt="202" path="m,l,21600r21600,l21600,xe">
                <v:stroke joinstyle="miter"/>
                <v:path gradientshapeok="t" o:connecttype="rect"/>
              </v:shapetype>
              <v:shape id="Textové pole 2" o:spid="_x0000_s1026" type="#_x0000_t202" style="position:absolute;left:0;text-align:left;margin-left:0;margin-top:46.45pt;width:242.9pt;height:163.6pt;z-index:251589632;visibility:visible;mso-wrap-style:square;mso-width-percent:0;mso-height-percent:0;mso-wrap-distance-left:9pt;mso-wrap-distance-top:3.6pt;mso-wrap-distance-right:9pt;mso-wrap-distance-bottom:8.5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" fillcolor="#ffc832" stroked="f" strokeweight=".25pt">
                <v:fill color2="#ffd82c" o:opacity2="9830f" rotate="t" angle="135" focus="100%" type="gradient"/>
                <v:textbox>
                  <w:txbxContent>
                    <w:p w14:paraId="24AE1AD1" w14:textId="03297F51" w:rsidR="004A223B" w:rsidRDefault="00452CA6"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Česko patřilo v nedávné inflační vlně mezi nejhůře zasažené země EU</w:t>
                      </w:r>
                    </w:p>
                    <w:p w14:paraId="6A05FFF8" w14:textId="65A75C69" w:rsidR="00452CA6" w:rsidRDefault="00EE34FE"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Inflačními premianty</w:t>
                      </w:r>
                      <w:r w:rsidR="00452CA6">
                        <w:rPr>
                          <w:rFonts w:ascii="Verdana" w:hAnsi="Verdana"/>
                          <w:sz w:val="20"/>
                        </w:rPr>
                        <w:t xml:space="preserve"> ovšem nebyly často diskutované potraviny, zemní plyn či pohonné hmoty</w:t>
                      </w:r>
                    </w:p>
                    <w:p w14:paraId="42BCB2BF" w14:textId="42C2CF93" w:rsidR="00452CA6" w:rsidRDefault="00452CA6" w:rsidP="00330297">
                      <w:pPr>
                        <w:pStyle w:val="Odstavecseseznamem"/>
                        <w:numPr>
                          <w:ilvl w:val="0"/>
                          <w:numId w:val="10"/>
                        </w:numPr>
                        <w:spacing w:line="300" w:lineRule="auto"/>
                        <w:contextualSpacing w:val="0"/>
                        <w:jc w:val="both"/>
                        <w:rPr>
                          <w:rFonts w:ascii="Verdana" w:hAnsi="Verdana"/>
                          <w:sz w:val="20"/>
                        </w:rPr>
                      </w:pPr>
                      <w:r>
                        <w:rPr>
                          <w:rFonts w:ascii="Verdana" w:hAnsi="Verdana"/>
                          <w:sz w:val="20"/>
                        </w:rPr>
                        <w:t>Evropským inflačním statistikám Česko dominovalo spíše v kategoriích, jako jsou oděvy, bytový textil, audiovizuální technika či ubytovací služby</w:t>
                      </w:r>
                    </w:p>
                  </w:txbxContent>
                </v:textbox>
                <w10:wrap type="square" anchorx="margin"/>
              </v:shape>
            </w:pict>
          </mc:Fallback>
        </mc:AlternateContent>
      </w:r>
      <w:r w:rsidRPr="00295B81">
        <w:rPr>
          <w:rFonts w:ascii="Verdana" w:hAnsi="Verdana"/>
          <w:noProof/>
          <w:sz w:val="28"/>
          <w:szCs w:val="28"/>
        </w:rPr>
        <mc:AlternateContent>
          <mc:Choice Requires="wps">
            <w:drawing>
              <wp:anchor distT="45720" distB="45720" distL="114300" distR="114300" simplePos="0" relativeHeight="251643904" behindDoc="0" locked="0" layoutInCell="1" allowOverlap="1" wp14:anchorId="11F14A89" wp14:editId="5A5C9664">
                <wp:simplePos x="0" y="0"/>
                <wp:positionH relativeFrom="margin">
                  <wp:align>left</wp:align>
                </wp:positionH>
                <wp:positionV relativeFrom="paragraph">
                  <wp:posOffset>273685</wp:posOffset>
                </wp:positionV>
                <wp:extent cx="3096260" cy="304800"/>
                <wp:effectExtent l="0" t="0" r="8890" b="0"/>
                <wp:wrapSquare wrapText="bothSides"/>
                <wp:docPr id="7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304800"/>
                        </a:xfrm>
                        <a:prstGeom prst="rect">
                          <a:avLst/>
                        </a:prstGeom>
                        <a:solidFill>
                          <a:srgbClr val="FFFFFF"/>
                        </a:solidFill>
                        <a:ln w="9525">
                          <a:noFill/>
                          <a:miter lim="800000"/>
                          <a:headEnd/>
                          <a:tailEnd/>
                        </a:ln>
                      </wps:spPr>
                      <wps:txbx>
                        <w:txbxContent>
                          <w:p w14:paraId="3A62F745" w14:textId="11DC2AAC" w:rsidR="00330297" w:rsidRPr="004874EA" w:rsidRDefault="00330297" w:rsidP="008B1E2B">
                            <w:pPr>
                              <w:spacing w:after="80" w:line="240" w:lineRule="auto"/>
                              <w:rPr>
                                <w:rFonts w:ascii="Verdana" w:hAnsi="Verdana"/>
                              </w:rPr>
                            </w:pPr>
                            <w:r>
                              <w:rPr>
                                <w:rFonts w:ascii="Verdana" w:hAnsi="Verdana"/>
                              </w:rPr>
                              <w:t>Vít Hradil, hlavní ekonom</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14A89" id="_x0000_s1027" type="#_x0000_t202" style="position:absolute;left:0;text-align:left;margin-left:0;margin-top:21.55pt;width:243.8pt;height:24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" stroked="f">
                <v:textbox inset="0">
                  <w:txbxContent>
                    <w:p w14:paraId="3A62F745" w14:textId="11DC2AAC" w:rsidR="00330297" w:rsidRPr="004874EA" w:rsidRDefault="00330297" w:rsidP="008B1E2B">
                      <w:pPr>
                        <w:spacing w:after="80" w:line="240" w:lineRule="auto"/>
                        <w:rPr>
                          <w:rFonts w:ascii="Verdana" w:hAnsi="Verdana"/>
                        </w:rPr>
                      </w:pPr>
                      <w:r>
                        <w:rPr>
                          <w:rFonts w:ascii="Verdana" w:hAnsi="Verdana"/>
                        </w:rPr>
                        <w:t>Vít Hradil, hlavní ekonom</w:t>
                      </w:r>
                    </w:p>
                  </w:txbxContent>
                </v:textbox>
                <w10:wrap type="square" anchorx="margin"/>
              </v:shape>
            </w:pict>
          </mc:Fallback>
        </mc:AlternateContent>
      </w:r>
      <w:r w:rsidR="004A223B">
        <w:rPr>
          <w:rFonts w:ascii="Verdana" w:hAnsi="Verdana"/>
          <w:sz w:val="28"/>
          <w:szCs w:val="28"/>
        </w:rPr>
        <w:t>Česká inflační vítězství</w:t>
      </w:r>
    </w:p>
    <w:p w14:paraId="2EFE0AAA" w14:textId="77777777" w:rsidR="004A223B" w:rsidRDefault="004A223B" w:rsidP="002C1A8D">
      <w:pPr>
        <w:spacing w:line="360" w:lineRule="auto"/>
        <w:jc w:val="both"/>
        <w:rPr>
          <w:rFonts w:ascii="Verdana" w:hAnsi="Verdana"/>
          <w:sz w:val="20"/>
          <w:szCs w:val="16"/>
          <w:lang w:eastAsia="cs-CZ"/>
        </w:rPr>
      </w:pPr>
      <w:r>
        <w:rPr>
          <w:rFonts w:ascii="Verdana" w:hAnsi="Verdana"/>
          <w:sz w:val="20"/>
          <w:szCs w:val="16"/>
          <w:lang w:eastAsia="cs-CZ"/>
        </w:rPr>
        <w:t xml:space="preserve">Ačkoliv českou inflaci stále nelze považovat za definitivně zkrocenou, zdá se, že šílené období zcela nekontrolovaného růstu cen je již za námi, a </w:t>
      </w:r>
      <w:r w:rsidRPr="00452CA6">
        <w:rPr>
          <w:rFonts w:ascii="Verdana" w:hAnsi="Verdana"/>
          <w:b/>
          <w:sz w:val="20"/>
          <w:szCs w:val="16"/>
          <w:lang w:eastAsia="cs-CZ"/>
        </w:rPr>
        <w:t>lze tedy začít bilancovat</w:t>
      </w:r>
      <w:r>
        <w:rPr>
          <w:rFonts w:ascii="Verdana" w:hAnsi="Verdana"/>
          <w:sz w:val="20"/>
          <w:szCs w:val="16"/>
          <w:lang w:eastAsia="cs-CZ"/>
        </w:rPr>
        <w:t xml:space="preserve">. </w:t>
      </w:r>
    </w:p>
    <w:p w14:paraId="6DE323B2" w14:textId="3646B4D2" w:rsidR="004A223B" w:rsidRDefault="004A223B" w:rsidP="002C1A8D">
      <w:pPr>
        <w:spacing w:line="360" w:lineRule="auto"/>
        <w:jc w:val="both"/>
        <w:rPr>
          <w:rFonts w:ascii="Verdana" w:hAnsi="Verdana"/>
          <w:sz w:val="20"/>
          <w:szCs w:val="16"/>
          <w:lang w:eastAsia="cs-CZ"/>
        </w:rPr>
      </w:pPr>
      <w:r>
        <w:rPr>
          <w:rFonts w:ascii="Verdana" w:hAnsi="Verdana"/>
          <w:sz w:val="20"/>
          <w:szCs w:val="16"/>
          <w:lang w:eastAsia="cs-CZ"/>
        </w:rPr>
        <w:t xml:space="preserve">V období mezi před-pandemickým lednem 2020 a stejným měsícem roku 2025 </w:t>
      </w:r>
      <w:r w:rsidRPr="00452CA6">
        <w:rPr>
          <w:rFonts w:ascii="Verdana" w:hAnsi="Verdana"/>
          <w:b/>
          <w:sz w:val="20"/>
          <w:szCs w:val="16"/>
          <w:lang w:eastAsia="cs-CZ"/>
        </w:rPr>
        <w:t>narostla tuzemská cenová hladina celkem o úctyhodných 39,8 %</w:t>
      </w:r>
      <w:r>
        <w:rPr>
          <w:rFonts w:ascii="Verdana" w:hAnsi="Verdana"/>
          <w:sz w:val="20"/>
          <w:szCs w:val="16"/>
          <w:lang w:eastAsia="cs-CZ"/>
        </w:rPr>
        <w:t xml:space="preserve"> (měřeno indexem HICP), což nás v rámci zemí Evropské unie řadí na pátou příčku. Nechtěným vítězem se stává Maďarsko (53,5 %), evropský průměr pak činil 24,6 %.</w:t>
      </w:r>
    </w:p>
    <w:p w14:paraId="5193A74B" w14:textId="69254B6B" w:rsidR="00A21E6F" w:rsidRDefault="00A21E6F" w:rsidP="002C1A8D">
      <w:pPr>
        <w:spacing w:line="360" w:lineRule="auto"/>
        <w:jc w:val="both"/>
        <w:rPr>
          <w:rFonts w:ascii="Verdana" w:hAnsi="Verdana"/>
          <w:sz w:val="20"/>
          <w:szCs w:val="16"/>
          <w:lang w:eastAsia="cs-CZ"/>
        </w:rPr>
      </w:pPr>
      <w:r>
        <w:rPr>
          <w:rFonts w:ascii="Verdana" w:hAnsi="Verdana"/>
          <w:sz w:val="20"/>
          <w:szCs w:val="16"/>
          <w:lang w:eastAsia="cs-CZ"/>
        </w:rPr>
        <w:t>Jedná se o nebývale extrémní hodnoty a není tedy divu, že inflační bouře vyvolala nelibé reakce dotčených spotřebitelů. Adresáty jejich hněvu se stávali střídavě politici, centrální bankéři, antimonopolní úřad, výrobci, dodavatelé či prodejci v závislosti na tom, co konkrétně v danou chvíli zrovna zdražovalo nejvýrazněji. Ačkoliv nelze vyloučit, že někteří z</w:t>
      </w:r>
      <w:r w:rsidR="003233D9">
        <w:rPr>
          <w:rFonts w:ascii="Verdana" w:hAnsi="Verdana"/>
          <w:sz w:val="20"/>
          <w:szCs w:val="16"/>
          <w:lang w:eastAsia="cs-CZ"/>
        </w:rPr>
        <w:t> těchto aktérů</w:t>
      </w:r>
      <w:r>
        <w:rPr>
          <w:rFonts w:ascii="Verdana" w:hAnsi="Verdana"/>
          <w:sz w:val="20"/>
          <w:szCs w:val="16"/>
          <w:lang w:eastAsia="cs-CZ"/>
        </w:rPr>
        <w:t xml:space="preserve"> (nebo dokonce všichni) měli máslo na hlavě, </w:t>
      </w:r>
      <w:r w:rsidRPr="00452CA6">
        <w:rPr>
          <w:rFonts w:ascii="Verdana" w:hAnsi="Verdana"/>
          <w:b/>
          <w:sz w:val="20"/>
          <w:szCs w:val="16"/>
          <w:lang w:eastAsia="cs-CZ"/>
        </w:rPr>
        <w:t>z mezinárodního srovnání vyplývá, že tato kritika nebyla vždy zcela na místě</w:t>
      </w:r>
      <w:r>
        <w:rPr>
          <w:rFonts w:ascii="Verdana" w:hAnsi="Verdana"/>
          <w:sz w:val="20"/>
          <w:szCs w:val="16"/>
          <w:lang w:eastAsia="cs-CZ"/>
        </w:rPr>
        <w:t>.</w:t>
      </w:r>
    </w:p>
    <w:p w14:paraId="04F7B6F9" w14:textId="384E2DA7" w:rsidR="00A21E6F" w:rsidRDefault="00A21E6F" w:rsidP="002C1A8D">
      <w:pPr>
        <w:spacing w:line="360" w:lineRule="auto"/>
        <w:jc w:val="both"/>
        <w:rPr>
          <w:rFonts w:ascii="Verdana" w:hAnsi="Verdana"/>
          <w:sz w:val="20"/>
          <w:szCs w:val="16"/>
          <w:lang w:eastAsia="cs-CZ"/>
        </w:rPr>
      </w:pPr>
      <w:r>
        <w:rPr>
          <w:rFonts w:ascii="Verdana" w:hAnsi="Verdana"/>
          <w:sz w:val="20"/>
          <w:szCs w:val="16"/>
          <w:lang w:eastAsia="cs-CZ"/>
        </w:rPr>
        <w:t xml:space="preserve">Mnoho pozornosti bylo například věnováno </w:t>
      </w:r>
      <w:r w:rsidR="00B22258">
        <w:rPr>
          <w:rFonts w:ascii="Verdana" w:hAnsi="Verdana"/>
          <w:sz w:val="20"/>
          <w:szCs w:val="16"/>
          <w:lang w:eastAsia="cs-CZ"/>
        </w:rPr>
        <w:t>zdražování tuzemských</w:t>
      </w:r>
      <w:r>
        <w:rPr>
          <w:rFonts w:ascii="Verdana" w:hAnsi="Verdana"/>
          <w:sz w:val="20"/>
          <w:szCs w:val="16"/>
          <w:lang w:eastAsia="cs-CZ"/>
        </w:rPr>
        <w:t xml:space="preserve"> </w:t>
      </w:r>
      <w:r w:rsidR="00B22258">
        <w:rPr>
          <w:rFonts w:ascii="Verdana" w:hAnsi="Verdana"/>
          <w:sz w:val="20"/>
          <w:szCs w:val="16"/>
          <w:lang w:eastAsia="cs-CZ"/>
        </w:rPr>
        <w:t>p</w:t>
      </w:r>
      <w:r>
        <w:rPr>
          <w:rFonts w:ascii="Verdana" w:hAnsi="Verdana"/>
          <w:sz w:val="20"/>
          <w:szCs w:val="16"/>
          <w:lang w:eastAsia="cs-CZ"/>
        </w:rPr>
        <w:t xml:space="preserve">otravin, </w:t>
      </w:r>
      <w:r w:rsidRPr="00452CA6">
        <w:rPr>
          <w:rFonts w:ascii="Verdana" w:hAnsi="Verdana"/>
          <w:b/>
          <w:sz w:val="20"/>
          <w:szCs w:val="16"/>
          <w:lang w:eastAsia="cs-CZ"/>
        </w:rPr>
        <w:t xml:space="preserve">které se </w:t>
      </w:r>
      <w:r w:rsidRPr="00452CA6">
        <w:rPr>
          <w:rFonts w:ascii="Verdana" w:hAnsi="Verdana"/>
          <w:b/>
          <w:sz w:val="20"/>
          <w:szCs w:val="16"/>
          <w:lang w:eastAsia="cs-CZ"/>
        </w:rPr>
        <w:t>přitom evropskému normálu ve skutečnosti nijak nevymykalo</w:t>
      </w:r>
      <w:r>
        <w:rPr>
          <w:rFonts w:ascii="Verdana" w:hAnsi="Verdana"/>
          <w:sz w:val="20"/>
          <w:szCs w:val="16"/>
          <w:lang w:eastAsia="cs-CZ"/>
        </w:rPr>
        <w:t xml:space="preserve">. </w:t>
      </w:r>
      <w:r w:rsidR="00B22258">
        <w:rPr>
          <w:rFonts w:ascii="Verdana" w:hAnsi="Verdana"/>
          <w:sz w:val="20"/>
          <w:szCs w:val="16"/>
          <w:lang w:eastAsia="cs-CZ"/>
        </w:rPr>
        <w:t xml:space="preserve">České ceny potravin ve sledovaném období vzrostly o 33,6 %, tedy </w:t>
      </w:r>
      <w:r w:rsidR="00B22258">
        <w:rPr>
          <w:rFonts w:ascii="Verdana" w:hAnsi="Verdana"/>
          <w:b/>
          <w:sz w:val="20"/>
          <w:szCs w:val="16"/>
          <w:lang w:eastAsia="cs-CZ"/>
        </w:rPr>
        <w:t>méně</w:t>
      </w:r>
      <w:r w:rsidR="00B22258">
        <w:rPr>
          <w:rFonts w:ascii="Verdana" w:hAnsi="Verdana"/>
          <w:sz w:val="20"/>
          <w:szCs w:val="16"/>
          <w:lang w:eastAsia="cs-CZ"/>
        </w:rPr>
        <w:t>, než činil evropský průměr (34,2 %). Před námi v tomto ohledu bylo</w:t>
      </w:r>
      <w:r w:rsidR="003233D9">
        <w:rPr>
          <w:rFonts w:ascii="Verdana" w:hAnsi="Verdana"/>
          <w:sz w:val="20"/>
          <w:szCs w:val="16"/>
          <w:lang w:eastAsia="cs-CZ"/>
        </w:rPr>
        <w:t xml:space="preserve"> hlavně Maďarsko (77,8 %) ale také sousední</w:t>
      </w:r>
      <w:r w:rsidR="00B22258">
        <w:rPr>
          <w:rFonts w:ascii="Verdana" w:hAnsi="Verdana"/>
          <w:sz w:val="20"/>
          <w:szCs w:val="16"/>
          <w:lang w:eastAsia="cs-CZ"/>
        </w:rPr>
        <w:t xml:space="preserve"> Polsko (46,6 %), Slovensko (47,9 %) nebo Německo (36,1 %). </w:t>
      </w:r>
      <w:r w:rsidR="00B22258" w:rsidRPr="00452CA6">
        <w:rPr>
          <w:rFonts w:ascii="Verdana" w:hAnsi="Verdana"/>
          <w:b/>
          <w:sz w:val="20"/>
          <w:szCs w:val="16"/>
          <w:lang w:eastAsia="cs-CZ"/>
        </w:rPr>
        <w:t>V evropské sedmadvacítce tak české potravinové zdražování stačí až na čtrnáctou příčku</w:t>
      </w:r>
      <w:r w:rsidR="00B22258">
        <w:rPr>
          <w:rFonts w:ascii="Verdana" w:hAnsi="Verdana"/>
          <w:sz w:val="20"/>
          <w:szCs w:val="16"/>
          <w:lang w:eastAsia="cs-CZ"/>
        </w:rPr>
        <w:t>.</w:t>
      </w:r>
    </w:p>
    <w:p w14:paraId="7DB94069" w14:textId="5FEABAB4" w:rsidR="00B22258" w:rsidRDefault="00B22258" w:rsidP="002C1A8D">
      <w:pPr>
        <w:spacing w:line="360" w:lineRule="auto"/>
        <w:jc w:val="both"/>
        <w:rPr>
          <w:rFonts w:ascii="Verdana" w:hAnsi="Verdana"/>
          <w:sz w:val="20"/>
          <w:szCs w:val="16"/>
          <w:lang w:eastAsia="cs-CZ"/>
        </w:rPr>
      </w:pPr>
      <w:r>
        <w:rPr>
          <w:rFonts w:ascii="Verdana" w:hAnsi="Verdana"/>
          <w:sz w:val="20"/>
          <w:szCs w:val="16"/>
          <w:lang w:eastAsia="cs-CZ"/>
        </w:rPr>
        <w:t>Mezi „vítěze“ jsme se nevešli ani u</w:t>
      </w:r>
      <w:r w:rsidR="006D170A">
        <w:rPr>
          <w:rFonts w:ascii="Verdana" w:hAnsi="Verdana"/>
          <w:sz w:val="20"/>
          <w:szCs w:val="16"/>
          <w:lang w:eastAsia="cs-CZ"/>
        </w:rPr>
        <w:t xml:space="preserve"> často diskutovaného</w:t>
      </w:r>
      <w:r>
        <w:rPr>
          <w:rFonts w:ascii="Verdana" w:hAnsi="Verdana"/>
          <w:sz w:val="20"/>
          <w:szCs w:val="16"/>
          <w:lang w:eastAsia="cs-CZ"/>
        </w:rPr>
        <w:t xml:space="preserve"> zemního plynu, který u nás zdražil o 86,8 %, což sice převyšuje evropský průměr (69,5 %), ale do kapsy nás hravě strčí například Rakousko (142,6 %) či Lotyšsko (137,3 %). </w:t>
      </w:r>
      <w:r w:rsidRPr="00452CA6">
        <w:rPr>
          <w:rFonts w:ascii="Verdana" w:hAnsi="Verdana"/>
          <w:b/>
          <w:sz w:val="20"/>
          <w:szCs w:val="16"/>
          <w:lang w:eastAsia="cs-CZ"/>
        </w:rPr>
        <w:t xml:space="preserve">Celkem nám inflace zemního plynu vynesla v rámci EU šestou </w:t>
      </w:r>
      <w:r w:rsidR="006D170A" w:rsidRPr="00452CA6">
        <w:rPr>
          <w:rFonts w:ascii="Verdana" w:hAnsi="Verdana"/>
          <w:b/>
          <w:sz w:val="20"/>
          <w:szCs w:val="16"/>
          <w:lang w:eastAsia="cs-CZ"/>
        </w:rPr>
        <w:t>pozici</w:t>
      </w:r>
      <w:r>
        <w:rPr>
          <w:rFonts w:ascii="Verdana" w:hAnsi="Verdana"/>
          <w:sz w:val="20"/>
          <w:szCs w:val="16"/>
          <w:lang w:eastAsia="cs-CZ"/>
        </w:rPr>
        <w:t>.</w:t>
      </w:r>
    </w:p>
    <w:p w14:paraId="7DB7FA0A" w14:textId="22FC68F1" w:rsidR="00B22258" w:rsidRPr="00B22258" w:rsidRDefault="003233D9" w:rsidP="002C1A8D">
      <w:pPr>
        <w:spacing w:line="360" w:lineRule="auto"/>
        <w:jc w:val="both"/>
        <w:rPr>
          <w:rFonts w:ascii="Verdana" w:hAnsi="Verdana"/>
          <w:sz w:val="20"/>
          <w:szCs w:val="16"/>
          <w:lang w:eastAsia="cs-CZ"/>
        </w:rPr>
      </w:pPr>
      <w:r>
        <w:rPr>
          <w:rFonts w:ascii="Verdana" w:hAnsi="Verdana"/>
          <w:sz w:val="20"/>
          <w:szCs w:val="16"/>
          <w:lang w:eastAsia="cs-CZ"/>
        </w:rPr>
        <w:t>Poněkud</w:t>
      </w:r>
      <w:r w:rsidR="006D170A">
        <w:rPr>
          <w:rFonts w:ascii="Verdana" w:hAnsi="Verdana"/>
          <w:sz w:val="20"/>
          <w:szCs w:val="16"/>
          <w:lang w:eastAsia="cs-CZ"/>
        </w:rPr>
        <w:t xml:space="preserve"> mimo terč pak zřejmě mířil</w:t>
      </w:r>
      <w:r w:rsidR="0058642F">
        <w:rPr>
          <w:rFonts w:ascii="Verdana" w:hAnsi="Verdana"/>
          <w:sz w:val="20"/>
          <w:szCs w:val="16"/>
          <w:lang w:eastAsia="cs-CZ"/>
        </w:rPr>
        <w:t>o</w:t>
      </w:r>
      <w:r w:rsidR="006D170A">
        <w:rPr>
          <w:rFonts w:ascii="Verdana" w:hAnsi="Verdana"/>
          <w:sz w:val="20"/>
          <w:szCs w:val="16"/>
          <w:lang w:eastAsia="cs-CZ"/>
        </w:rPr>
        <w:t xml:space="preserve"> i obviňování českých pumpařů ze šponování cen pohonných hmot. Benzín v Česku zdražil o 13,4 %, zatímco průměr EU činil 21,7 %. </w:t>
      </w:r>
      <w:r w:rsidR="0058642F" w:rsidRPr="00452CA6">
        <w:rPr>
          <w:rFonts w:ascii="Verdana" w:hAnsi="Verdana"/>
          <w:b/>
          <w:sz w:val="20"/>
          <w:szCs w:val="16"/>
          <w:lang w:eastAsia="cs-CZ"/>
        </w:rPr>
        <w:t>V</w:t>
      </w:r>
      <w:r w:rsidR="006D170A" w:rsidRPr="00452CA6">
        <w:rPr>
          <w:rFonts w:ascii="Verdana" w:hAnsi="Verdana"/>
          <w:b/>
          <w:sz w:val="20"/>
          <w:szCs w:val="16"/>
          <w:lang w:eastAsia="cs-CZ"/>
        </w:rPr>
        <w:t xml:space="preserve"> evro</w:t>
      </w:r>
      <w:bookmarkStart w:id="0" w:name="_GoBack"/>
      <w:bookmarkEnd w:id="0"/>
      <w:r w:rsidR="006D170A" w:rsidRPr="00452CA6">
        <w:rPr>
          <w:rFonts w:ascii="Verdana" w:hAnsi="Verdana"/>
          <w:b/>
          <w:sz w:val="20"/>
          <w:szCs w:val="16"/>
          <w:lang w:eastAsia="cs-CZ"/>
        </w:rPr>
        <w:t xml:space="preserve">pském žebříčku </w:t>
      </w:r>
      <w:proofErr w:type="spellStart"/>
      <w:r w:rsidR="006D170A" w:rsidRPr="00452CA6">
        <w:rPr>
          <w:rFonts w:ascii="Verdana" w:hAnsi="Verdana"/>
          <w:b/>
          <w:sz w:val="20"/>
          <w:szCs w:val="16"/>
          <w:lang w:eastAsia="cs-CZ"/>
        </w:rPr>
        <w:t>zdražovačů</w:t>
      </w:r>
      <w:proofErr w:type="spellEnd"/>
      <w:r w:rsidR="00452CA6">
        <w:rPr>
          <w:rFonts w:ascii="Verdana" w:hAnsi="Verdana"/>
          <w:b/>
          <w:sz w:val="20"/>
          <w:szCs w:val="16"/>
          <w:lang w:eastAsia="cs-CZ"/>
        </w:rPr>
        <w:t xml:space="preserve"> benzínu</w:t>
      </w:r>
      <w:r w:rsidR="006D170A" w:rsidRPr="00452CA6">
        <w:rPr>
          <w:rFonts w:ascii="Verdana" w:hAnsi="Verdana"/>
          <w:b/>
          <w:sz w:val="20"/>
          <w:szCs w:val="16"/>
          <w:lang w:eastAsia="cs-CZ"/>
        </w:rPr>
        <w:t xml:space="preserve"> tak </w:t>
      </w:r>
      <w:r w:rsidR="0058642F" w:rsidRPr="00452CA6">
        <w:rPr>
          <w:rFonts w:ascii="Verdana" w:hAnsi="Verdana"/>
          <w:b/>
          <w:sz w:val="20"/>
          <w:szCs w:val="16"/>
          <w:lang w:eastAsia="cs-CZ"/>
        </w:rPr>
        <w:t>patříme</w:t>
      </w:r>
      <w:r w:rsidR="006D170A" w:rsidRPr="00452CA6">
        <w:rPr>
          <w:rFonts w:ascii="Verdana" w:hAnsi="Verdana"/>
          <w:b/>
          <w:sz w:val="20"/>
          <w:szCs w:val="16"/>
          <w:lang w:eastAsia="cs-CZ"/>
        </w:rPr>
        <w:t xml:space="preserve"> až na bídnou 23. příčku</w:t>
      </w:r>
      <w:r w:rsidR="006D170A">
        <w:rPr>
          <w:rFonts w:ascii="Verdana" w:hAnsi="Verdana"/>
          <w:sz w:val="20"/>
          <w:szCs w:val="16"/>
          <w:lang w:eastAsia="cs-CZ"/>
        </w:rPr>
        <w:t>.</w:t>
      </w:r>
    </w:p>
    <w:p w14:paraId="72C6ECAC" w14:textId="54B0AC6A" w:rsidR="006D170A" w:rsidRDefault="006D170A" w:rsidP="0058642F">
      <w:pPr>
        <w:spacing w:line="360" w:lineRule="auto"/>
        <w:jc w:val="both"/>
        <w:rPr>
          <w:rFonts w:ascii="Verdana" w:hAnsi="Verdana"/>
          <w:sz w:val="20"/>
          <w:szCs w:val="16"/>
          <w:lang w:eastAsia="cs-CZ"/>
        </w:rPr>
      </w:pPr>
      <w:r>
        <w:rPr>
          <w:rFonts w:ascii="Verdana" w:hAnsi="Verdana"/>
          <w:sz w:val="20"/>
          <w:szCs w:val="16"/>
          <w:lang w:eastAsia="cs-CZ"/>
        </w:rPr>
        <w:t xml:space="preserve">Na zlatou medaili Češi dosáhli ve zcela jiných kategoriích. </w:t>
      </w:r>
      <w:r w:rsidRPr="00452CA6">
        <w:rPr>
          <w:rFonts w:ascii="Verdana" w:hAnsi="Verdana"/>
          <w:b/>
          <w:sz w:val="20"/>
          <w:szCs w:val="16"/>
          <w:lang w:eastAsia="cs-CZ"/>
        </w:rPr>
        <w:t>Zbytku Evropy jsme to natřeli například v inflaci oděvů</w:t>
      </w:r>
      <w:r w:rsidR="0058642F">
        <w:rPr>
          <w:rFonts w:ascii="Verdana" w:hAnsi="Verdana"/>
          <w:sz w:val="20"/>
          <w:szCs w:val="16"/>
          <w:lang w:eastAsia="cs-CZ"/>
        </w:rPr>
        <w:t xml:space="preserve"> (viz Graf 1)</w:t>
      </w:r>
      <w:r>
        <w:rPr>
          <w:rFonts w:ascii="Verdana" w:hAnsi="Verdana"/>
          <w:sz w:val="20"/>
          <w:szCs w:val="16"/>
          <w:lang w:eastAsia="cs-CZ"/>
        </w:rPr>
        <w:t>, která u nás dosáhla 49,3 %, čímž jsme daleko za sebou nechali druhé Rumunsko (33,0 %) i evropský průměr (11,4 %).</w:t>
      </w:r>
      <w:r w:rsidR="0058642F">
        <w:rPr>
          <w:rFonts w:ascii="Verdana" w:hAnsi="Verdana"/>
          <w:sz w:val="20"/>
          <w:szCs w:val="16"/>
          <w:lang w:eastAsia="cs-CZ"/>
        </w:rPr>
        <w:br w:type="page"/>
      </w:r>
      <w:r w:rsidR="0058642F">
        <w:rPr>
          <w:rFonts w:ascii="Verdana" w:hAnsi="Verdana"/>
          <w:noProof/>
          <w:sz w:val="20"/>
          <w:szCs w:val="16"/>
          <w:lang w:eastAsia="cs-CZ"/>
        </w:rPr>
        <w:lastRenderedPageBreak/>
        <mc:AlternateContent>
          <mc:Choice Requires="wps">
            <w:drawing>
              <wp:anchor distT="0" distB="0" distL="114300" distR="114300" simplePos="0" relativeHeight="251659264" behindDoc="0" locked="0" layoutInCell="1" allowOverlap="1" wp14:anchorId="67AD8F2D" wp14:editId="7AFFF62C">
                <wp:simplePos x="0" y="0"/>
                <wp:positionH relativeFrom="margin">
                  <wp:align>left</wp:align>
                </wp:positionH>
                <wp:positionV relativeFrom="paragraph">
                  <wp:posOffset>577</wp:posOffset>
                </wp:positionV>
                <wp:extent cx="3098165" cy="231140"/>
                <wp:effectExtent l="0" t="0" r="6985" b="0"/>
                <wp:wrapTopAndBottom/>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4B43446E" w14:textId="6AB74D5A" w:rsidR="0058642F" w:rsidRPr="004874EA" w:rsidRDefault="0058642F" w:rsidP="0058642F">
                            <w:pPr>
                              <w:spacing w:after="0" w:line="240" w:lineRule="auto"/>
                              <w:rPr>
                                <w:rFonts w:ascii="Verdana" w:hAnsi="Verdana"/>
                                <w:sz w:val="16"/>
                              </w:rPr>
                            </w:pPr>
                            <w:r>
                              <w:rPr>
                                <w:rFonts w:ascii="Verdana" w:hAnsi="Verdana"/>
                                <w:sz w:val="16"/>
                              </w:rPr>
                              <w:t>Graf 1: Inflace oděvů (1/2020–1/2025)</w:t>
                            </w:r>
                          </w:p>
                          <w:p w14:paraId="22F40190" w14:textId="1D4A6CF9" w:rsidR="0058642F" w:rsidRPr="004874EA" w:rsidRDefault="0058642F" w:rsidP="0058642F">
                            <w:pPr>
                              <w:spacing w:after="0" w:line="240" w:lineRule="auto"/>
                              <w:rPr>
                                <w:rFonts w:ascii="Verdana" w:hAnsi="Verdana"/>
                                <w:sz w:val="16"/>
                              </w:rPr>
                            </w:pPr>
                          </w:p>
                        </w:txbxContent>
                      </wps:txbx>
                      <wps:bodyPr rot="0" vert="horz" wrap="square" lIns="91440" tIns="45720" rIns="91440" bIns="45720" anchor="ctr" anchorCtr="0">
                        <a:noAutofit/>
                      </wps:bodyPr>
                    </wps:wsp>
                  </a:graphicData>
                </a:graphic>
              </wp:anchor>
            </w:drawing>
          </mc:Choice>
          <mc:Fallback>
            <w:pict>
              <v:shape w14:anchorId="67AD8F2D" id="Textové pole 21" o:spid="_x0000_s1028" type="#_x0000_t202" style="position:absolute;left:0;text-align:left;margin-left:0;margin-top:.05pt;width:243.95pt;height:18.2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" fillcolor="#ffc832" stroked="f">
                <v:fill color2="#ffd82c" o:opacity2="9830f" rotate="t" angle="135" focus="100%" type="gradient"/>
                <v:textbox>
                  <w:txbxContent>
                    <w:p w14:paraId="4B43446E" w14:textId="6AB74D5A" w:rsidR="0058642F" w:rsidRPr="004874EA" w:rsidRDefault="0058642F" w:rsidP="0058642F">
                      <w:pPr>
                        <w:spacing w:after="0" w:line="240" w:lineRule="auto"/>
                        <w:rPr>
                          <w:rFonts w:ascii="Verdana" w:hAnsi="Verdana"/>
                          <w:sz w:val="16"/>
                        </w:rPr>
                      </w:pPr>
                      <w:r>
                        <w:rPr>
                          <w:rFonts w:ascii="Verdana" w:hAnsi="Verdana"/>
                          <w:sz w:val="16"/>
                        </w:rPr>
                        <w:t>G</w:t>
                      </w:r>
                      <w:r>
                        <w:rPr>
                          <w:rFonts w:ascii="Verdana" w:hAnsi="Verdana"/>
                          <w:sz w:val="16"/>
                        </w:rPr>
                        <w:t>raf 1</w:t>
                      </w:r>
                      <w:r>
                        <w:rPr>
                          <w:rFonts w:ascii="Verdana" w:hAnsi="Verdana"/>
                          <w:sz w:val="16"/>
                        </w:rPr>
                        <w:t xml:space="preserve">: </w:t>
                      </w:r>
                      <w:r>
                        <w:rPr>
                          <w:rFonts w:ascii="Verdana" w:hAnsi="Verdana"/>
                          <w:sz w:val="16"/>
                        </w:rPr>
                        <w:t>Inflace oděvů (</w:t>
                      </w:r>
                      <w:r>
                        <w:rPr>
                          <w:rFonts w:ascii="Verdana" w:hAnsi="Verdana"/>
                          <w:sz w:val="16"/>
                        </w:rPr>
                        <w:t>1/2020–1/2025)</w:t>
                      </w:r>
                    </w:p>
                    <w:p w14:paraId="22F40190" w14:textId="1D4A6CF9" w:rsidR="0058642F" w:rsidRPr="004874EA" w:rsidRDefault="0058642F" w:rsidP="0058642F">
                      <w:pPr>
                        <w:spacing w:after="0" w:line="240" w:lineRule="auto"/>
                        <w:rPr>
                          <w:rFonts w:ascii="Verdana" w:hAnsi="Verdana"/>
                          <w:sz w:val="16"/>
                        </w:rPr>
                      </w:pPr>
                    </w:p>
                  </w:txbxContent>
                </v:textbox>
                <w10:wrap type="topAndBottom" anchorx="margin"/>
              </v:shape>
            </w:pict>
          </mc:Fallback>
        </mc:AlternateContent>
      </w:r>
      <w:r>
        <w:rPr>
          <w:noProof/>
          <w:lang w:eastAsia="cs-CZ"/>
        </w:rPr>
        <w:drawing>
          <wp:inline distT="0" distB="0" distL="0" distR="0" wp14:anchorId="0C65539E" wp14:editId="6D69C1CC">
            <wp:extent cx="3099600" cy="4320000"/>
            <wp:effectExtent l="0" t="0" r="5715" b="444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841635" w14:textId="4FA904EB" w:rsidR="006D170A" w:rsidRDefault="0058642F" w:rsidP="002C1A8D">
      <w:pPr>
        <w:spacing w:line="360" w:lineRule="auto"/>
        <w:jc w:val="both"/>
        <w:rPr>
          <w:rFonts w:ascii="Verdana" w:hAnsi="Verdana"/>
          <w:sz w:val="20"/>
          <w:szCs w:val="16"/>
          <w:lang w:eastAsia="cs-CZ"/>
        </w:rPr>
      </w:pPr>
      <w:r>
        <w:rPr>
          <w:rFonts w:ascii="Verdana" w:hAnsi="Verdana"/>
          <w:sz w:val="20"/>
          <w:szCs w:val="16"/>
          <w:lang w:eastAsia="cs-CZ"/>
        </w:rPr>
        <w:t xml:space="preserve">Podobně dopadla i soutěž v růstu cen </w:t>
      </w:r>
      <w:r w:rsidRPr="00452CA6">
        <w:rPr>
          <w:rFonts w:ascii="Verdana" w:hAnsi="Verdana"/>
          <w:b/>
          <w:sz w:val="20"/>
          <w:szCs w:val="16"/>
          <w:lang w:eastAsia="cs-CZ"/>
        </w:rPr>
        <w:t xml:space="preserve">bytového textilu </w:t>
      </w:r>
      <w:r>
        <w:rPr>
          <w:rFonts w:ascii="Verdana" w:hAnsi="Verdana"/>
          <w:sz w:val="20"/>
          <w:szCs w:val="16"/>
          <w:lang w:eastAsia="cs-CZ"/>
        </w:rPr>
        <w:t>(graf 2). Na českých 48,5 % nestačilo druhé Maďarsko (3</w:t>
      </w:r>
      <w:r w:rsidR="00452CA6">
        <w:rPr>
          <w:rFonts w:ascii="Verdana" w:hAnsi="Verdana"/>
          <w:sz w:val="20"/>
          <w:szCs w:val="16"/>
          <w:lang w:eastAsia="cs-CZ"/>
        </w:rPr>
        <w:t>4,2 %) či třetí Polsko (25,7 %).</w:t>
      </w:r>
      <w:r>
        <w:rPr>
          <w:rFonts w:ascii="Verdana" w:hAnsi="Verdana"/>
          <w:sz w:val="20"/>
          <w:szCs w:val="16"/>
          <w:lang w:eastAsia="cs-CZ"/>
        </w:rPr>
        <w:t xml:space="preserve"> </w:t>
      </w:r>
      <w:r w:rsidR="00452CA6">
        <w:rPr>
          <w:rFonts w:ascii="Verdana" w:hAnsi="Verdana"/>
          <w:sz w:val="20"/>
          <w:szCs w:val="16"/>
          <w:lang w:eastAsia="cs-CZ"/>
        </w:rPr>
        <w:t>E</w:t>
      </w:r>
      <w:r>
        <w:rPr>
          <w:rFonts w:ascii="Verdana" w:hAnsi="Verdana"/>
          <w:sz w:val="20"/>
          <w:szCs w:val="16"/>
          <w:lang w:eastAsia="cs-CZ"/>
        </w:rPr>
        <w:t>vropský průměr pak činil mrzkých 13,8 %.</w:t>
      </w:r>
    </w:p>
    <w:p w14:paraId="51C2007B" w14:textId="0B9EF1B9" w:rsidR="006D170A" w:rsidRDefault="0058642F" w:rsidP="002C1A8D">
      <w:pPr>
        <w:spacing w:line="360" w:lineRule="auto"/>
        <w:jc w:val="both"/>
        <w:rPr>
          <w:rFonts w:ascii="Verdana" w:hAnsi="Verdana"/>
          <w:sz w:val="20"/>
          <w:szCs w:val="16"/>
          <w:lang w:eastAsia="cs-CZ"/>
        </w:rPr>
      </w:pPr>
      <w:r>
        <w:rPr>
          <w:rFonts w:ascii="Verdana" w:hAnsi="Verdana"/>
          <w:noProof/>
          <w:sz w:val="20"/>
          <w:szCs w:val="16"/>
          <w:lang w:eastAsia="cs-CZ"/>
        </w:rPr>
        <mc:AlternateContent>
          <mc:Choice Requires="wps">
            <w:drawing>
              <wp:anchor distT="0" distB="0" distL="114300" distR="114300" simplePos="0" relativeHeight="251661312" behindDoc="0" locked="0" layoutInCell="1" allowOverlap="1" wp14:anchorId="22DE1B87" wp14:editId="663ADAF8">
                <wp:simplePos x="0" y="0"/>
                <wp:positionH relativeFrom="margin">
                  <wp:align>right</wp:align>
                </wp:positionH>
                <wp:positionV relativeFrom="paragraph">
                  <wp:posOffset>405</wp:posOffset>
                </wp:positionV>
                <wp:extent cx="3098165" cy="231140"/>
                <wp:effectExtent l="0" t="0" r="6985" b="0"/>
                <wp:wrapTopAndBottom/>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3599A0C5" w14:textId="492465E0" w:rsidR="0058642F" w:rsidRPr="004874EA" w:rsidRDefault="0058642F" w:rsidP="0058642F">
                            <w:pPr>
                              <w:spacing w:after="0" w:line="240" w:lineRule="auto"/>
                              <w:rPr>
                                <w:rFonts w:ascii="Verdana" w:hAnsi="Verdana"/>
                                <w:sz w:val="16"/>
                              </w:rPr>
                            </w:pPr>
                            <w:r>
                              <w:rPr>
                                <w:rFonts w:ascii="Verdana" w:hAnsi="Verdana"/>
                                <w:sz w:val="16"/>
                              </w:rPr>
                              <w:t>Graf 2: Inflace bytového textilu (1/2020–1/2025)</w:t>
                            </w:r>
                          </w:p>
                        </w:txbxContent>
                      </wps:txbx>
                      <wps:bodyPr rot="0" vert="horz" wrap="square" lIns="91440" tIns="45720" rIns="91440" bIns="45720" anchor="ctr" anchorCtr="0">
                        <a:noAutofit/>
                      </wps:bodyPr>
                    </wps:wsp>
                  </a:graphicData>
                </a:graphic>
              </wp:anchor>
            </w:drawing>
          </mc:Choice>
          <mc:Fallback>
            <w:pict>
              <v:shape w14:anchorId="22DE1B87" id="Textové pole 4" o:spid="_x0000_s1029" type="#_x0000_t202" style="position:absolute;left:0;text-align:left;margin-left:192.75pt;margin-top:.05pt;width:243.95pt;height:18.2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" fillcolor="#ffc832" stroked="f">
                <v:fill color2="#ffd82c" o:opacity2="9830f" rotate="t" angle="135" focus="100%" type="gradient"/>
                <v:textbox>
                  <w:txbxContent>
                    <w:p w14:paraId="3599A0C5" w14:textId="492465E0" w:rsidR="0058642F" w:rsidRPr="004874EA" w:rsidRDefault="0058642F" w:rsidP="0058642F">
                      <w:pPr>
                        <w:spacing w:after="0" w:line="240" w:lineRule="auto"/>
                        <w:rPr>
                          <w:rFonts w:ascii="Verdana" w:hAnsi="Verdana"/>
                          <w:sz w:val="16"/>
                        </w:rPr>
                      </w:pPr>
                      <w:r>
                        <w:rPr>
                          <w:rFonts w:ascii="Verdana" w:hAnsi="Verdana"/>
                          <w:sz w:val="16"/>
                        </w:rPr>
                        <w:t xml:space="preserve">Graf </w:t>
                      </w:r>
                      <w:r>
                        <w:rPr>
                          <w:rFonts w:ascii="Verdana" w:hAnsi="Verdana"/>
                          <w:sz w:val="16"/>
                        </w:rPr>
                        <w:t>2</w:t>
                      </w:r>
                      <w:r>
                        <w:rPr>
                          <w:rFonts w:ascii="Verdana" w:hAnsi="Verdana"/>
                          <w:sz w:val="16"/>
                        </w:rPr>
                        <w:t xml:space="preserve">: Inflace </w:t>
                      </w:r>
                      <w:r>
                        <w:rPr>
                          <w:rFonts w:ascii="Verdana" w:hAnsi="Verdana"/>
                          <w:sz w:val="16"/>
                        </w:rPr>
                        <w:t>bytového textilu</w:t>
                      </w:r>
                      <w:r>
                        <w:rPr>
                          <w:rFonts w:ascii="Verdana" w:hAnsi="Verdana"/>
                          <w:sz w:val="16"/>
                        </w:rPr>
                        <w:t xml:space="preserve"> </w:t>
                      </w:r>
                      <w:r>
                        <w:rPr>
                          <w:rFonts w:ascii="Verdana" w:hAnsi="Verdana"/>
                          <w:sz w:val="16"/>
                        </w:rPr>
                        <w:t>(1/</w:t>
                      </w:r>
                      <w:r>
                        <w:rPr>
                          <w:rFonts w:ascii="Verdana" w:hAnsi="Verdana"/>
                          <w:sz w:val="16"/>
                        </w:rPr>
                        <w:t>2020–</w:t>
                      </w:r>
                      <w:r>
                        <w:rPr>
                          <w:rFonts w:ascii="Verdana" w:hAnsi="Verdana"/>
                          <w:sz w:val="16"/>
                        </w:rPr>
                        <w:t>1/</w:t>
                      </w:r>
                      <w:r>
                        <w:rPr>
                          <w:rFonts w:ascii="Verdana" w:hAnsi="Verdana"/>
                          <w:sz w:val="16"/>
                        </w:rPr>
                        <w:t>2025)</w:t>
                      </w:r>
                    </w:p>
                  </w:txbxContent>
                </v:textbox>
                <w10:wrap type="topAndBottom" anchorx="margin"/>
              </v:shape>
            </w:pict>
          </mc:Fallback>
        </mc:AlternateContent>
      </w:r>
      <w:r>
        <w:rPr>
          <w:noProof/>
          <w:lang w:eastAsia="cs-CZ"/>
        </w:rPr>
        <w:drawing>
          <wp:inline distT="0" distB="0" distL="0" distR="0" wp14:anchorId="23EDE9CF" wp14:editId="63FED880">
            <wp:extent cx="3098165" cy="4320000"/>
            <wp:effectExtent l="0" t="0" r="6985" b="444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32D383" w14:textId="5699C10B" w:rsidR="001A2388" w:rsidRDefault="0058642F" w:rsidP="002C1A8D">
      <w:pPr>
        <w:spacing w:line="360" w:lineRule="auto"/>
        <w:jc w:val="both"/>
        <w:rPr>
          <w:rFonts w:ascii="Verdana" w:hAnsi="Verdana"/>
          <w:sz w:val="20"/>
          <w:szCs w:val="16"/>
          <w:lang w:eastAsia="cs-CZ"/>
        </w:rPr>
      </w:pPr>
      <w:r>
        <w:rPr>
          <w:rFonts w:ascii="Verdana" w:hAnsi="Verdana"/>
          <w:sz w:val="20"/>
          <w:szCs w:val="16"/>
          <w:lang w:eastAsia="cs-CZ"/>
        </w:rPr>
        <w:t>Další prvenství Češi ukořistili v</w:t>
      </w:r>
      <w:r w:rsidR="001A2388">
        <w:rPr>
          <w:rFonts w:ascii="Verdana" w:hAnsi="Verdana"/>
          <w:sz w:val="20"/>
          <w:szCs w:val="16"/>
          <w:lang w:eastAsia="cs-CZ"/>
        </w:rPr>
        <w:t> </w:t>
      </w:r>
      <w:r>
        <w:rPr>
          <w:rFonts w:ascii="Verdana" w:hAnsi="Verdana"/>
          <w:sz w:val="20"/>
          <w:szCs w:val="16"/>
          <w:lang w:eastAsia="cs-CZ"/>
        </w:rPr>
        <w:t>kategorii</w:t>
      </w:r>
      <w:r w:rsidR="001A2388">
        <w:rPr>
          <w:rFonts w:ascii="Verdana" w:hAnsi="Verdana"/>
          <w:sz w:val="20"/>
          <w:szCs w:val="16"/>
          <w:lang w:eastAsia="cs-CZ"/>
        </w:rPr>
        <w:t xml:space="preserve"> nazvané</w:t>
      </w:r>
      <w:r>
        <w:rPr>
          <w:rFonts w:ascii="Verdana" w:hAnsi="Verdana"/>
          <w:sz w:val="20"/>
          <w:szCs w:val="16"/>
          <w:lang w:eastAsia="cs-CZ"/>
        </w:rPr>
        <w:t xml:space="preserve"> </w:t>
      </w:r>
      <w:r w:rsidRPr="00452CA6">
        <w:rPr>
          <w:rFonts w:ascii="Verdana" w:hAnsi="Verdana"/>
          <w:b/>
          <w:sz w:val="20"/>
          <w:szCs w:val="16"/>
          <w:lang w:eastAsia="cs-CZ"/>
        </w:rPr>
        <w:t>zařízení a vybavení audiovizuální, fotografická a pro zpracování dat</w:t>
      </w:r>
      <w:r w:rsidR="001A2388">
        <w:rPr>
          <w:rFonts w:ascii="Verdana" w:hAnsi="Verdana"/>
          <w:sz w:val="20"/>
          <w:szCs w:val="16"/>
          <w:lang w:eastAsia="cs-CZ"/>
        </w:rPr>
        <w:t xml:space="preserve"> (graf 3)</w:t>
      </w:r>
      <w:r w:rsidR="00A21D4F">
        <w:rPr>
          <w:rFonts w:ascii="Verdana" w:hAnsi="Verdana"/>
          <w:sz w:val="20"/>
          <w:szCs w:val="16"/>
          <w:lang w:eastAsia="cs-CZ"/>
        </w:rPr>
        <w:t>.</w:t>
      </w:r>
      <w:r w:rsidR="001A2388">
        <w:rPr>
          <w:rFonts w:ascii="Verdana" w:hAnsi="Verdana"/>
          <w:sz w:val="20"/>
          <w:szCs w:val="16"/>
          <w:lang w:eastAsia="cs-CZ"/>
        </w:rPr>
        <w:t xml:space="preserve"> Tentokrát to ovšem bylo těsné, když českých 20,1 % ohrožovalo Rumunsko (19,5 %). Vynikáme </w:t>
      </w:r>
      <w:r w:rsidR="003233D9">
        <w:rPr>
          <w:rFonts w:ascii="Verdana" w:hAnsi="Verdana"/>
          <w:sz w:val="20"/>
          <w:szCs w:val="16"/>
          <w:lang w:eastAsia="cs-CZ"/>
        </w:rPr>
        <w:t>ale</w:t>
      </w:r>
      <w:r w:rsidR="001A2388">
        <w:rPr>
          <w:rFonts w:ascii="Verdana" w:hAnsi="Verdana"/>
          <w:sz w:val="20"/>
          <w:szCs w:val="16"/>
          <w:lang w:eastAsia="cs-CZ"/>
        </w:rPr>
        <w:t xml:space="preserve"> ve srovnání s evropským průměrem, který vykázal naopak zlevnění o 5,3 %.</w:t>
      </w:r>
    </w:p>
    <w:p w14:paraId="5F3B2311" w14:textId="07C5348E" w:rsidR="001A2388" w:rsidRDefault="001A2388">
      <w:pPr>
        <w:rPr>
          <w:rFonts w:ascii="Verdana" w:hAnsi="Verdana"/>
          <w:sz w:val="20"/>
          <w:szCs w:val="16"/>
          <w:lang w:eastAsia="cs-CZ"/>
        </w:rPr>
      </w:pPr>
      <w:r>
        <w:rPr>
          <w:rFonts w:ascii="Verdana" w:hAnsi="Verdana"/>
          <w:sz w:val="20"/>
          <w:szCs w:val="16"/>
          <w:lang w:eastAsia="cs-CZ"/>
        </w:rPr>
        <w:br w:type="page"/>
      </w:r>
    </w:p>
    <w:p w14:paraId="4D158911" w14:textId="05822D47" w:rsidR="00B42F57" w:rsidRDefault="001A2388" w:rsidP="002C1A8D">
      <w:pPr>
        <w:spacing w:line="360" w:lineRule="auto"/>
        <w:jc w:val="both"/>
        <w:rPr>
          <w:rFonts w:ascii="Verdana" w:hAnsi="Verdana"/>
          <w:sz w:val="20"/>
          <w:szCs w:val="16"/>
          <w:lang w:eastAsia="cs-CZ"/>
        </w:rPr>
      </w:pPr>
      <w:r>
        <w:rPr>
          <w:rFonts w:ascii="Verdana" w:hAnsi="Verdana"/>
          <w:noProof/>
          <w:sz w:val="20"/>
          <w:szCs w:val="16"/>
          <w:lang w:eastAsia="cs-CZ"/>
        </w:rPr>
        <w:lastRenderedPageBreak/>
        <mc:AlternateContent>
          <mc:Choice Requires="wps">
            <w:drawing>
              <wp:anchor distT="0" distB="0" distL="114300" distR="114300" simplePos="0" relativeHeight="251663360" behindDoc="0" locked="0" layoutInCell="1" allowOverlap="1" wp14:anchorId="5D7EC382" wp14:editId="6874950F">
                <wp:simplePos x="0" y="0"/>
                <wp:positionH relativeFrom="margin">
                  <wp:align>left</wp:align>
                </wp:positionH>
                <wp:positionV relativeFrom="paragraph">
                  <wp:posOffset>519</wp:posOffset>
                </wp:positionV>
                <wp:extent cx="3098165" cy="231140"/>
                <wp:effectExtent l="0" t="0" r="6985" b="0"/>
                <wp:wrapTopAndBottom/>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70168C82" w14:textId="103E643C" w:rsidR="001A2388" w:rsidRPr="004874EA" w:rsidRDefault="001A2388" w:rsidP="001A2388">
                            <w:pPr>
                              <w:spacing w:after="0" w:line="240" w:lineRule="auto"/>
                              <w:rPr>
                                <w:rFonts w:ascii="Verdana" w:hAnsi="Verdana"/>
                                <w:sz w:val="16"/>
                              </w:rPr>
                            </w:pPr>
                            <w:r>
                              <w:rPr>
                                <w:rFonts w:ascii="Verdana" w:hAnsi="Verdana"/>
                                <w:sz w:val="16"/>
                              </w:rPr>
                              <w:t>Graf 3: Inflace audiovizuální techniky (1/2020–1/2025)</w:t>
                            </w:r>
                          </w:p>
                        </w:txbxContent>
                      </wps:txbx>
                      <wps:bodyPr rot="0" vert="horz" wrap="square" lIns="91440" tIns="45720" rIns="91440" bIns="45720" anchor="ctr" anchorCtr="0">
                        <a:noAutofit/>
                      </wps:bodyPr>
                    </wps:wsp>
                  </a:graphicData>
                </a:graphic>
              </wp:anchor>
            </w:drawing>
          </mc:Choice>
          <mc:Fallback>
            <w:pict>
              <v:shape w14:anchorId="5D7EC382" id="Textové pole 9" o:spid="_x0000_s1030" type="#_x0000_t202" style="position:absolute;left:0;text-align:left;margin-left:0;margin-top:.05pt;width:243.95pt;height:18.2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" fillcolor="#ffc832" stroked="f">
                <v:fill color2="#ffd82c" o:opacity2="9830f" rotate="t" angle="135" focus="100%" type="gradient"/>
                <v:textbox>
                  <w:txbxContent>
                    <w:p w14:paraId="70168C82" w14:textId="103E643C" w:rsidR="001A2388" w:rsidRPr="004874EA" w:rsidRDefault="001A2388" w:rsidP="001A2388">
                      <w:pPr>
                        <w:spacing w:after="0" w:line="240" w:lineRule="auto"/>
                        <w:rPr>
                          <w:rFonts w:ascii="Verdana" w:hAnsi="Verdana"/>
                          <w:sz w:val="16"/>
                        </w:rPr>
                      </w:pPr>
                      <w:r>
                        <w:rPr>
                          <w:rFonts w:ascii="Verdana" w:hAnsi="Verdana"/>
                          <w:sz w:val="16"/>
                        </w:rPr>
                        <w:t xml:space="preserve">Graf </w:t>
                      </w:r>
                      <w:r>
                        <w:rPr>
                          <w:rFonts w:ascii="Verdana" w:hAnsi="Verdana"/>
                          <w:sz w:val="16"/>
                        </w:rPr>
                        <w:t>3</w:t>
                      </w:r>
                      <w:r>
                        <w:rPr>
                          <w:rFonts w:ascii="Verdana" w:hAnsi="Verdana"/>
                          <w:sz w:val="16"/>
                        </w:rPr>
                        <w:t xml:space="preserve">: Inflace </w:t>
                      </w:r>
                      <w:r>
                        <w:rPr>
                          <w:rFonts w:ascii="Verdana" w:hAnsi="Verdana"/>
                          <w:sz w:val="16"/>
                        </w:rPr>
                        <w:t>audiovizuální techniky</w:t>
                      </w:r>
                      <w:r>
                        <w:rPr>
                          <w:rFonts w:ascii="Verdana" w:hAnsi="Verdana"/>
                          <w:sz w:val="16"/>
                        </w:rPr>
                        <w:t xml:space="preserve"> (1/2020–1/2025)</w:t>
                      </w:r>
                    </w:p>
                  </w:txbxContent>
                </v:textbox>
                <w10:wrap type="topAndBottom" anchorx="margin"/>
              </v:shape>
            </w:pict>
          </mc:Fallback>
        </mc:AlternateContent>
      </w:r>
      <w:r>
        <w:rPr>
          <w:noProof/>
          <w:lang w:eastAsia="cs-CZ"/>
        </w:rPr>
        <w:drawing>
          <wp:inline distT="0" distB="0" distL="0" distR="0" wp14:anchorId="2840F3A4" wp14:editId="543A48D7">
            <wp:extent cx="3098165" cy="4320000"/>
            <wp:effectExtent l="0" t="0" r="6985" b="444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3610DD" w14:textId="7AD5B32F" w:rsidR="001A2388" w:rsidRDefault="001A2388" w:rsidP="002C1A8D">
      <w:pPr>
        <w:spacing w:line="360" w:lineRule="auto"/>
        <w:jc w:val="both"/>
        <w:rPr>
          <w:rFonts w:ascii="Verdana" w:hAnsi="Verdana"/>
          <w:sz w:val="20"/>
          <w:szCs w:val="16"/>
          <w:lang w:eastAsia="cs-CZ"/>
        </w:rPr>
      </w:pPr>
      <w:r>
        <w:rPr>
          <w:rFonts w:ascii="Verdana" w:hAnsi="Verdana"/>
          <w:sz w:val="20"/>
          <w:szCs w:val="16"/>
          <w:lang w:eastAsia="cs-CZ"/>
        </w:rPr>
        <w:t xml:space="preserve">A konečně do čtveřice Česko zvítězilo i v disciplíně zdražování </w:t>
      </w:r>
      <w:r w:rsidRPr="00452CA6">
        <w:rPr>
          <w:rFonts w:ascii="Verdana" w:hAnsi="Verdana"/>
          <w:b/>
          <w:sz w:val="20"/>
          <w:szCs w:val="16"/>
          <w:lang w:eastAsia="cs-CZ"/>
        </w:rPr>
        <w:t>ubytovacích služeb</w:t>
      </w:r>
      <w:r>
        <w:rPr>
          <w:rFonts w:ascii="Verdana" w:hAnsi="Verdana"/>
          <w:sz w:val="20"/>
          <w:szCs w:val="16"/>
          <w:lang w:eastAsia="cs-CZ"/>
        </w:rPr>
        <w:t xml:space="preserve"> (graf 4). Ty u nás ve sledovaném období na ceně přidaly o silných 58,3 % a nechaly tak za sebou i turisty vyhledávané Chorvatsko (53,5 %), natož pak evropský průměr (29,5 %).</w:t>
      </w:r>
    </w:p>
    <w:p w14:paraId="388F7BAB" w14:textId="7348199E" w:rsidR="00757DD8" w:rsidRDefault="001A2388" w:rsidP="002C1A8D">
      <w:pPr>
        <w:spacing w:line="360" w:lineRule="auto"/>
        <w:jc w:val="both"/>
        <w:rPr>
          <w:rFonts w:ascii="Verdana" w:hAnsi="Verdana"/>
          <w:sz w:val="20"/>
          <w:szCs w:val="16"/>
          <w:lang w:eastAsia="cs-CZ"/>
        </w:rPr>
      </w:pPr>
      <w:r>
        <w:rPr>
          <w:rFonts w:ascii="Verdana" w:hAnsi="Verdana"/>
          <w:noProof/>
          <w:sz w:val="20"/>
          <w:szCs w:val="16"/>
          <w:lang w:eastAsia="cs-CZ"/>
        </w:rPr>
        <mc:AlternateContent>
          <mc:Choice Requires="wps">
            <w:drawing>
              <wp:anchor distT="0" distB="0" distL="114300" distR="114300" simplePos="0" relativeHeight="251665408" behindDoc="0" locked="0" layoutInCell="1" allowOverlap="1" wp14:anchorId="045D2BE6" wp14:editId="45028D6F">
                <wp:simplePos x="0" y="0"/>
                <wp:positionH relativeFrom="margin">
                  <wp:align>right</wp:align>
                </wp:positionH>
                <wp:positionV relativeFrom="paragraph">
                  <wp:posOffset>231</wp:posOffset>
                </wp:positionV>
                <wp:extent cx="3098165" cy="231140"/>
                <wp:effectExtent l="0" t="0" r="6985" b="0"/>
                <wp:wrapTopAndBottom/>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31140"/>
                        </a:xfrm>
                        <a:prstGeom prst="rect">
                          <a:avLst/>
                        </a:prstGeom>
                        <a:gradFill flip="none" rotWithShape="1">
                          <a:gsLst>
                            <a:gs pos="0">
                              <a:srgbClr val="FFC832"/>
                            </a:gs>
                            <a:gs pos="100000">
                              <a:srgbClr val="FFD82C">
                                <a:alpha val="15000"/>
                              </a:srgbClr>
                            </a:gs>
                          </a:gsLst>
                          <a:lin ang="18900000" scaled="1"/>
                          <a:tileRect/>
                        </a:gradFill>
                        <a:ln w="9525">
                          <a:noFill/>
                          <a:miter lim="800000"/>
                          <a:headEnd/>
                          <a:tailEnd/>
                        </a:ln>
                      </wps:spPr>
                      <wps:txbx>
                        <w:txbxContent>
                          <w:p w14:paraId="5625A6F8" w14:textId="6F45003A" w:rsidR="001A2388" w:rsidRPr="004874EA" w:rsidRDefault="001A2388" w:rsidP="001A2388">
                            <w:pPr>
                              <w:spacing w:after="0" w:line="240" w:lineRule="auto"/>
                              <w:rPr>
                                <w:rFonts w:ascii="Verdana" w:hAnsi="Verdana"/>
                                <w:sz w:val="16"/>
                              </w:rPr>
                            </w:pPr>
                            <w:r>
                              <w:rPr>
                                <w:rFonts w:ascii="Verdana" w:hAnsi="Verdana"/>
                                <w:sz w:val="16"/>
                              </w:rPr>
                              <w:t>Graf 4: Inflace ubytovacích služeb (1/2020–1/2025)</w:t>
                            </w:r>
                          </w:p>
                        </w:txbxContent>
                      </wps:txbx>
                      <wps:bodyPr rot="0" vert="horz" wrap="square" lIns="91440" tIns="45720" rIns="91440" bIns="45720" anchor="ctr" anchorCtr="0">
                        <a:noAutofit/>
                      </wps:bodyPr>
                    </wps:wsp>
                  </a:graphicData>
                </a:graphic>
              </wp:anchor>
            </w:drawing>
          </mc:Choice>
          <mc:Fallback>
            <w:pict>
              <v:shape w14:anchorId="045D2BE6" id="Textové pole 12" o:spid="_x0000_s1031" type="#_x0000_t202" style="position:absolute;left:0;text-align:left;margin-left:192.75pt;margin-top:0;width:243.95pt;height:18.2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" fillcolor="#ffc832" stroked="f">
                <v:fill color2="#ffd82c" o:opacity2="9830f" rotate="t" angle="135" focus="100%" type="gradient"/>
                <v:textbox>
                  <w:txbxContent>
                    <w:p w14:paraId="5625A6F8" w14:textId="6F45003A" w:rsidR="001A2388" w:rsidRPr="004874EA" w:rsidRDefault="001A2388" w:rsidP="001A2388">
                      <w:pPr>
                        <w:spacing w:after="0" w:line="240" w:lineRule="auto"/>
                        <w:rPr>
                          <w:rFonts w:ascii="Verdana" w:hAnsi="Verdana"/>
                          <w:sz w:val="16"/>
                        </w:rPr>
                      </w:pPr>
                      <w:r>
                        <w:rPr>
                          <w:rFonts w:ascii="Verdana" w:hAnsi="Verdana"/>
                          <w:sz w:val="16"/>
                        </w:rPr>
                        <w:t xml:space="preserve">Graf </w:t>
                      </w:r>
                      <w:r>
                        <w:rPr>
                          <w:rFonts w:ascii="Verdana" w:hAnsi="Verdana"/>
                          <w:sz w:val="16"/>
                        </w:rPr>
                        <w:t>4</w:t>
                      </w:r>
                      <w:r>
                        <w:rPr>
                          <w:rFonts w:ascii="Verdana" w:hAnsi="Verdana"/>
                          <w:sz w:val="16"/>
                        </w:rPr>
                        <w:t xml:space="preserve">: Inflace </w:t>
                      </w:r>
                      <w:r>
                        <w:rPr>
                          <w:rFonts w:ascii="Verdana" w:hAnsi="Verdana"/>
                          <w:sz w:val="16"/>
                        </w:rPr>
                        <w:t>ubytovacích služeb</w:t>
                      </w:r>
                      <w:r>
                        <w:rPr>
                          <w:rFonts w:ascii="Verdana" w:hAnsi="Verdana"/>
                          <w:sz w:val="16"/>
                        </w:rPr>
                        <w:t xml:space="preserve"> (1/2020–1/2025)</w:t>
                      </w:r>
                    </w:p>
                  </w:txbxContent>
                </v:textbox>
                <w10:wrap type="topAndBottom" anchorx="margin"/>
              </v:shape>
            </w:pict>
          </mc:Fallback>
        </mc:AlternateContent>
      </w:r>
      <w:r>
        <w:rPr>
          <w:noProof/>
          <w:lang w:eastAsia="cs-CZ"/>
        </w:rPr>
        <w:drawing>
          <wp:inline distT="0" distB="0" distL="0" distR="0" wp14:anchorId="777B04B2" wp14:editId="5E6F2058">
            <wp:extent cx="3098165" cy="4320000"/>
            <wp:effectExtent l="0" t="0" r="6985" b="444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146D4F" w14:textId="77777777" w:rsidR="009E4E88" w:rsidRDefault="009E4E88" w:rsidP="002C1A8D">
      <w:pPr>
        <w:spacing w:line="360" w:lineRule="auto"/>
        <w:jc w:val="both"/>
        <w:rPr>
          <w:rFonts w:ascii="Verdana" w:hAnsi="Verdana"/>
          <w:sz w:val="20"/>
          <w:szCs w:val="16"/>
          <w:lang w:eastAsia="cs-CZ"/>
        </w:rPr>
        <w:sectPr w:rsidR="009E4E88" w:rsidSect="002A5F0B">
          <w:headerReference w:type="default" r:id="rId12"/>
          <w:footerReference w:type="default" r:id="rId13"/>
          <w:type w:val="continuous"/>
          <w:pgSz w:w="11906" w:h="16838"/>
          <w:pgMar w:top="720" w:right="720" w:bottom="1701" w:left="720" w:header="567" w:footer="169" w:gutter="0"/>
          <w:cols w:num="2" w:space="708"/>
          <w:docGrid w:linePitch="360"/>
        </w:sectPr>
      </w:pPr>
    </w:p>
    <w:p w14:paraId="38CAD464" w14:textId="77777777" w:rsidR="00D64538" w:rsidRPr="009C5A9F" w:rsidRDefault="00D64538" w:rsidP="00D64538">
      <w:pPr>
        <w:spacing w:line="360" w:lineRule="auto"/>
        <w:jc w:val="both"/>
        <w:rPr>
          <w:rFonts w:ascii="Verdana" w:hAnsi="Verdana"/>
          <w:b/>
          <w:sz w:val="16"/>
          <w:szCs w:val="16"/>
          <w:lang w:eastAsia="cs-CZ"/>
        </w:rPr>
      </w:pPr>
      <w:r w:rsidRPr="009C5A9F">
        <w:rPr>
          <w:rFonts w:ascii="Verdana" w:hAnsi="Verdana"/>
          <w:b/>
          <w:sz w:val="16"/>
          <w:szCs w:val="16"/>
          <w:lang w:eastAsia="cs-CZ"/>
        </w:rPr>
        <w:lastRenderedPageBreak/>
        <w:t>Upozornění</w:t>
      </w:r>
    </w:p>
    <w:p w14:paraId="6B5E27B7" w14:textId="1626881A" w:rsidR="00213745" w:rsidRPr="009C5A9F" w:rsidRDefault="00D64538" w:rsidP="00213745">
      <w:pPr>
        <w:spacing w:line="360" w:lineRule="auto"/>
        <w:jc w:val="both"/>
        <w:rPr>
          <w:rFonts w:ascii="Verdana" w:hAnsi="Verdana"/>
          <w:sz w:val="16"/>
          <w:szCs w:val="16"/>
          <w:lang w:eastAsia="cs-CZ"/>
        </w:rPr>
      </w:pPr>
      <w:r w:rsidRPr="009C5A9F">
        <w:rPr>
          <w:rFonts w:ascii="Verdana" w:hAnsi="Verdana"/>
          <w:sz w:val="16"/>
          <w:szCs w:val="16"/>
          <w:lang w:eastAsia="cs-CZ"/>
        </w:rPr>
        <w:t xml:space="preserve">Dokument byl zpracován společností CYRRUS, a.s.,  obchodníkem  s  cennými  papíry,  se  sídlem  Brno,  Veveří  111 (dále  jen „společnost“). Společnost je členem Burzy  cenných papírů Praha, a.s. a Frankfurt </w:t>
      </w:r>
      <w:proofErr w:type="spellStart"/>
      <w:r w:rsidRPr="009C5A9F">
        <w:rPr>
          <w:rFonts w:ascii="Verdana" w:hAnsi="Verdana"/>
          <w:sz w:val="16"/>
          <w:szCs w:val="16"/>
          <w:lang w:eastAsia="cs-CZ"/>
        </w:rPr>
        <w:t>Stock</w:t>
      </w:r>
      <w:proofErr w:type="spellEnd"/>
      <w:r w:rsidRPr="009C5A9F">
        <w:rPr>
          <w:rFonts w:ascii="Verdana" w:hAnsi="Verdana"/>
          <w:sz w:val="16"/>
          <w:szCs w:val="16"/>
          <w:lang w:eastAsia="cs-CZ"/>
        </w:rPr>
        <w:t xml:space="preserve">  Exchange   (FWB)   –  </w:t>
      </w:r>
      <w:proofErr w:type="spellStart"/>
      <w:r w:rsidRPr="009C5A9F">
        <w:rPr>
          <w:rFonts w:ascii="Verdana" w:hAnsi="Verdana"/>
          <w:sz w:val="16"/>
          <w:szCs w:val="16"/>
          <w:lang w:eastAsia="cs-CZ"/>
        </w:rPr>
        <w:t>Deutsche</w:t>
      </w:r>
      <w:proofErr w:type="spellEnd"/>
      <w:r w:rsidRPr="009C5A9F">
        <w:rPr>
          <w:rFonts w:ascii="Verdana" w:hAnsi="Verdana"/>
          <w:sz w:val="16"/>
          <w:szCs w:val="16"/>
          <w:lang w:eastAsia="cs-CZ"/>
        </w:rPr>
        <w:t xml:space="preserve">   </w:t>
      </w:r>
      <w:proofErr w:type="spellStart"/>
      <w:r w:rsidRPr="009C5A9F">
        <w:rPr>
          <w:rFonts w:ascii="Verdana" w:hAnsi="Verdana"/>
          <w:sz w:val="16"/>
          <w:szCs w:val="16"/>
          <w:lang w:eastAsia="cs-CZ"/>
        </w:rPr>
        <w:t>Börse</w:t>
      </w:r>
      <w:proofErr w:type="spellEnd"/>
      <w:r w:rsidRPr="009C5A9F">
        <w:rPr>
          <w:rFonts w:ascii="Verdana" w:hAnsi="Verdana"/>
          <w:sz w:val="16"/>
          <w:szCs w:val="16"/>
          <w:lang w:eastAsia="cs-CZ"/>
        </w:rPr>
        <w:t>.   Společnost   podléhá regulaci a dohledu České národní banky. Dokument je  určen   pouze  pro  reklamní   účely a nebyl vytvořen za účelem komplexního průvodce investicemi. Poskytuje pouze krátký přehled o jednom z investičních  produktů  v současné  nabídce.  Dokument  nenahrazuje  odborné poradenství k finančním nástrojům v něm uvedeným, ani nenahrazuje komplexní poučení o rizicích. Dokument je určen výhradně pro počáteční informační účely a společnost důrazně doporučuje investorům podstoupit investiční a/nebo právní a/nebo daňové poradenství před tím, než učiní investiční rozhodnutí. Informace obsažené v tomto  dokumentu  nelze  považovat  za  radu  k jednotlivé investici, ani  za  daňovou  nebo  právní radu. Pokud se v dokumentu hovoří o jakémkoliv výnosu, je vždy třeba vycházet ze zásady, že minulé  výnosy  nejsou  zárukou  výnosů  budoucích, že jakákoliv investice v sobě zahrnuje riziko kolísání hodnoty a změny směnných kursů a že návratnost původně investovaných prostředků ani výše zisku není, pokud v textu dokumentu  není uvedeno jinak, zaručena. Investoři mohou získat při prodeji uvedeného investičního nástroje před datem splatnosti nebo při splacení investičního nástroje částku nižší než částku investovanou. Potenciální ztráta je omezena na původně investovanou částku. Informace jsou založeny na hrubé výkonnosti před zdaněním. Tento dokument obsahuje příklady vytvořené na základě analýzy scénářů vývoje podkladových instrumentů. Očekávání a  predikce  analytiků  a  stratégů  nejsou  spolehlivým indikátorem  budoucího  vývoje  tržního  kurzu  dotčených  investičních  nástrojů.</w:t>
      </w:r>
      <w:r w:rsidR="00213745" w:rsidRPr="00213745">
        <w:rPr>
          <w:rFonts w:ascii="Verdana" w:hAnsi="Verdana"/>
          <w:sz w:val="16"/>
          <w:szCs w:val="16"/>
          <w:lang w:eastAsia="cs-CZ"/>
        </w:rPr>
        <w:t xml:space="preserve"> </w:t>
      </w:r>
      <w:r w:rsidR="00213745" w:rsidRPr="009C5A9F">
        <w:rPr>
          <w:rFonts w:ascii="Verdana" w:hAnsi="Verdana"/>
          <w:sz w:val="16"/>
          <w:szCs w:val="16"/>
          <w:lang w:eastAsia="cs-CZ"/>
        </w:rPr>
        <w:t>Příklady  jsou  založeny  pouze  na  hypotetických  předpokladech  a  neumožňují  jakýkoli  závěr  o  budoucím  vývoji  ceny  investičního  nástroje.  Zdanění  je  závislé  na  osobních  poměrech každého investora a podléhá zákonným předpisům a dohledu příslušných úřadů. Tento dokument byl připraven s náležitou a patřičnou  pečlivostí a  pozorností,  společnost  však  neposkytuje garance či ujištění, ať výslovné nebo předpokládané, o  jeho  přesnosti,  správnosti,  aktuálnosti  nebo  úplnosti.  Z  informací v  tomto  dokumentu není  možné odvozovat  žádná práva  ani povinnosti. Informace o společnosti a podrobné informace o  pobídkách  a střetech zájmů  naleznete na www.cyrrus.cz  v sekci O společnosti.  Tiskové chyby vyhrazeny.  Obsah dokumentu  je chráněn dle autorského zákona, majitelem autorských práv je společnost. Společnost zakazuje zveřejnění a šíření dokumentu bez jejího písemného souhlasu. Společnost nenese odpovědnost za šíření nebo uveřejnění dokumentu třetími osobami.</w:t>
      </w:r>
    </w:p>
    <w:p w14:paraId="175C796F" w14:textId="3EF8C8BB" w:rsidR="00D64538" w:rsidRPr="009C5A9F" w:rsidRDefault="00D64538" w:rsidP="00D64538">
      <w:pPr>
        <w:spacing w:line="360" w:lineRule="auto"/>
        <w:jc w:val="both"/>
        <w:rPr>
          <w:rFonts w:ascii="Verdana" w:hAnsi="Verdana"/>
          <w:sz w:val="16"/>
          <w:szCs w:val="16"/>
          <w:lang w:eastAsia="cs-CZ"/>
        </w:rPr>
      </w:pPr>
    </w:p>
    <w:tbl>
      <w:tblPr>
        <w:tblStyle w:val="Mkatabulky"/>
        <w:tblpPr w:leftFromText="142" w:rightFromText="142" w:vertAnchor="page" w:horzAnchor="margin" w:tblpY="1000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67"/>
        <w:gridCol w:w="4167"/>
      </w:tblGrid>
      <w:tr w:rsidR="00C63A3C" w:rsidRPr="009C5A9F" w14:paraId="4FDEF083" w14:textId="77777777" w:rsidTr="00C63A3C">
        <w:trPr>
          <w:trHeight w:val="284"/>
        </w:trPr>
        <w:tc>
          <w:tcPr>
            <w:tcW w:w="2122" w:type="dxa"/>
            <w:tcBorders>
              <w:top w:val="single" w:sz="8" w:space="0" w:color="A6A6A6" w:themeColor="background1" w:themeShade="A6"/>
            </w:tcBorders>
          </w:tcPr>
          <w:p w14:paraId="7E6D9EAD" w14:textId="77777777" w:rsidR="00C63A3C" w:rsidRPr="009C5A9F" w:rsidRDefault="00C63A3C" w:rsidP="00C63A3C">
            <w:pPr>
              <w:pStyle w:val="Zpat"/>
              <w:jc w:val="both"/>
              <w:rPr>
                <w:rFonts w:ascii="Verdana" w:hAnsi="Verdana"/>
                <w:color w:val="FFC832" w:themeColor="background2"/>
                <w:sz w:val="28"/>
              </w:rPr>
            </w:pPr>
          </w:p>
        </w:tc>
        <w:tc>
          <w:tcPr>
            <w:tcW w:w="8334" w:type="dxa"/>
            <w:gridSpan w:val="2"/>
            <w:tcBorders>
              <w:top w:val="single" w:sz="8" w:space="0" w:color="A6A6A6" w:themeColor="background1" w:themeShade="A6"/>
            </w:tcBorders>
          </w:tcPr>
          <w:p w14:paraId="4E6D3D8C" w14:textId="77777777" w:rsidR="00C63A3C" w:rsidRPr="009C5A9F" w:rsidRDefault="00C63A3C" w:rsidP="00C63A3C">
            <w:pPr>
              <w:pStyle w:val="Zpat"/>
              <w:jc w:val="both"/>
              <w:rPr>
                <w:rFonts w:ascii="Verdana" w:hAnsi="Verdana"/>
              </w:rPr>
            </w:pPr>
          </w:p>
        </w:tc>
      </w:tr>
      <w:tr w:rsidR="00C63A3C" w:rsidRPr="009C5A9F" w14:paraId="55CDE469" w14:textId="77777777" w:rsidTr="00C63A3C">
        <w:trPr>
          <w:trHeight w:val="1127"/>
        </w:trPr>
        <w:tc>
          <w:tcPr>
            <w:tcW w:w="2122" w:type="dxa"/>
          </w:tcPr>
          <w:p w14:paraId="36BDA476" w14:textId="77777777" w:rsidR="00C63A3C" w:rsidRPr="009C5A9F" w:rsidRDefault="00C63A3C" w:rsidP="00C63A3C">
            <w:pPr>
              <w:pStyle w:val="Zpat"/>
              <w:jc w:val="both"/>
              <w:rPr>
                <w:rFonts w:ascii="Verdana" w:hAnsi="Verdana"/>
                <w:b/>
              </w:rPr>
            </w:pPr>
            <w:r w:rsidRPr="009C5A9F">
              <w:rPr>
                <w:rFonts w:ascii="Verdana" w:hAnsi="Verdana"/>
                <w:b/>
                <w:color w:val="FFC832" w:themeColor="background2"/>
                <w:sz w:val="28"/>
              </w:rPr>
              <w:t>Investujte.</w:t>
            </w:r>
            <w:r w:rsidRPr="009C5A9F">
              <w:rPr>
                <w:rFonts w:ascii="Verdana" w:hAnsi="Verdana"/>
                <w:b/>
                <w:color w:val="FFC832" w:themeColor="background2"/>
                <w:sz w:val="28"/>
              </w:rPr>
              <w:br/>
              <w:t>CYRRUS</w:t>
            </w:r>
          </w:p>
        </w:tc>
        <w:tc>
          <w:tcPr>
            <w:tcW w:w="8334" w:type="dxa"/>
            <w:gridSpan w:val="2"/>
          </w:tcPr>
          <w:p w14:paraId="245B18A9" w14:textId="77777777" w:rsidR="00C63A3C" w:rsidRPr="009C5A9F" w:rsidRDefault="00C63A3C" w:rsidP="00C63A3C">
            <w:pPr>
              <w:pStyle w:val="Zpat"/>
              <w:jc w:val="both"/>
              <w:rPr>
                <w:rFonts w:ascii="Verdana" w:hAnsi="Verdana"/>
              </w:rPr>
            </w:pPr>
            <w:r w:rsidRPr="009C5A9F">
              <w:rPr>
                <w:rFonts w:ascii="Verdana" w:hAnsi="Verdana"/>
              </w:rPr>
              <w:t>V roce 1995 jsme se vydali na cestu brokera. 25 let obchodujeme s cennými papíry, staráme se o své klienty, reagujeme na dění ve světě a rozvíjíme se. Díky tomu vám můžeme přinášet stále nové služby a inovativní možnosti investování. Jsme CYRRUS.</w:t>
            </w:r>
          </w:p>
        </w:tc>
      </w:tr>
      <w:tr w:rsidR="00CE577F" w:rsidRPr="009C5A9F" w14:paraId="4874CD78" w14:textId="77777777" w:rsidTr="00CE577F">
        <w:trPr>
          <w:trHeight w:val="1895"/>
        </w:trPr>
        <w:tc>
          <w:tcPr>
            <w:tcW w:w="2122" w:type="dxa"/>
            <w:vMerge w:val="restart"/>
          </w:tcPr>
          <w:p w14:paraId="56C061E4" w14:textId="77777777" w:rsidR="00CE577F" w:rsidRPr="009C5A9F" w:rsidRDefault="00130B96" w:rsidP="00C63A3C">
            <w:pPr>
              <w:pStyle w:val="Zpat"/>
              <w:spacing w:after="240"/>
              <w:jc w:val="both"/>
              <w:rPr>
                <w:rFonts w:ascii="Verdana" w:hAnsi="Verdana"/>
                <w:sz w:val="16"/>
              </w:rPr>
            </w:pPr>
            <w:hyperlink r:id="rId14" w:history="1">
              <w:r w:rsidR="00CE577F" w:rsidRPr="009C5A9F">
                <w:rPr>
                  <w:rStyle w:val="Hypertextovodkaz"/>
                  <w:rFonts w:ascii="Verdana" w:hAnsi="Verdana"/>
                  <w:sz w:val="16"/>
                </w:rPr>
                <w:t>Loga ke stažení</w:t>
              </w:r>
            </w:hyperlink>
          </w:p>
          <w:p w14:paraId="2D784830" w14:textId="77777777" w:rsidR="00CE577F" w:rsidRPr="009C5A9F" w:rsidRDefault="00130B96" w:rsidP="00C63A3C">
            <w:pPr>
              <w:pStyle w:val="Zpat"/>
              <w:spacing w:after="240"/>
              <w:jc w:val="both"/>
              <w:rPr>
                <w:rFonts w:ascii="Verdana" w:hAnsi="Verdana"/>
                <w:sz w:val="16"/>
              </w:rPr>
            </w:pPr>
            <w:hyperlink r:id="rId15" w:history="1">
              <w:r w:rsidR="00CE577F" w:rsidRPr="009C5A9F">
                <w:rPr>
                  <w:rStyle w:val="Hypertextovodkaz"/>
                  <w:rFonts w:ascii="Verdana" w:hAnsi="Verdana"/>
                  <w:sz w:val="16"/>
                </w:rPr>
                <w:t>Obecné fotografie</w:t>
              </w:r>
            </w:hyperlink>
          </w:p>
          <w:p w14:paraId="7A76238A" w14:textId="77777777" w:rsidR="00CE577F" w:rsidRPr="009C5A9F" w:rsidRDefault="00CE577F" w:rsidP="00C63A3C">
            <w:pPr>
              <w:pStyle w:val="Zpat"/>
              <w:spacing w:after="240"/>
              <w:rPr>
                <w:rFonts w:ascii="Verdana" w:hAnsi="Verdana"/>
                <w:sz w:val="16"/>
              </w:rPr>
            </w:pPr>
            <w:r w:rsidRPr="009C5A9F">
              <w:rPr>
                <w:rFonts w:ascii="Verdana" w:hAnsi="Verdana"/>
                <w:sz w:val="16"/>
              </w:rPr>
              <w:t>Název společnosti píšeme velkými písmeny a neskloňujeme.</w:t>
            </w:r>
          </w:p>
          <w:p w14:paraId="213E57A0" w14:textId="77777777" w:rsidR="00CE577F" w:rsidRPr="009C5A9F" w:rsidRDefault="00CE577F" w:rsidP="00C63A3C">
            <w:pPr>
              <w:pStyle w:val="Zpat"/>
              <w:spacing w:after="240"/>
              <w:rPr>
                <w:rFonts w:ascii="Verdana" w:hAnsi="Verdana"/>
                <w:sz w:val="16"/>
              </w:rPr>
            </w:pPr>
            <w:r w:rsidRPr="009C5A9F">
              <w:rPr>
                <w:rFonts w:ascii="Verdana" w:hAnsi="Verdana"/>
                <w:sz w:val="16"/>
              </w:rPr>
              <w:t>Vyslovujeme [CYRRUS].</w:t>
            </w:r>
          </w:p>
          <w:p w14:paraId="6FB45D94" w14:textId="77777777" w:rsidR="00CE577F" w:rsidRPr="009C5A9F" w:rsidRDefault="00130B96" w:rsidP="00C63A3C">
            <w:pPr>
              <w:pStyle w:val="Zpat"/>
              <w:jc w:val="both"/>
              <w:rPr>
                <w:rFonts w:ascii="Verdana" w:hAnsi="Verdana"/>
                <w:sz w:val="16"/>
              </w:rPr>
            </w:pPr>
            <w:hyperlink r:id="rId16" w:history="1">
              <w:r w:rsidR="00CE577F" w:rsidRPr="009C5A9F">
                <w:rPr>
                  <w:rStyle w:val="Hypertextovodkaz"/>
                  <w:rFonts w:ascii="Verdana" w:hAnsi="Verdana"/>
                  <w:sz w:val="16"/>
                </w:rPr>
                <w:t>WWW.CYRRUS.CZ</w:t>
              </w:r>
            </w:hyperlink>
          </w:p>
        </w:tc>
        <w:tc>
          <w:tcPr>
            <w:tcW w:w="4167" w:type="dxa"/>
          </w:tcPr>
          <w:p w14:paraId="7576E967" w14:textId="77777777" w:rsidR="00CE577F" w:rsidRPr="009C5A9F" w:rsidRDefault="00CE577F" w:rsidP="00C63A3C">
            <w:pPr>
              <w:pStyle w:val="Zpat"/>
              <w:jc w:val="center"/>
              <w:rPr>
                <w:rFonts w:ascii="Verdana" w:hAnsi="Verdana"/>
              </w:rPr>
            </w:pPr>
            <w:r w:rsidRPr="009C5A9F">
              <w:rPr>
                <w:rFonts w:ascii="Verdana" w:hAnsi="Verdana"/>
                <w:noProof/>
                <w:lang w:eastAsia="cs-CZ"/>
              </w:rPr>
              <w:drawing>
                <wp:inline distT="0" distB="0" distL="0" distR="0" wp14:anchorId="324CE04C" wp14:editId="4A458253">
                  <wp:extent cx="1136488" cy="1136488"/>
                  <wp:effectExtent l="0" t="0" r="6985" b="6985"/>
                  <wp:docPr id="876" name="Obrázek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4167" w:type="dxa"/>
          </w:tcPr>
          <w:p w14:paraId="07D66F34" w14:textId="77777777" w:rsidR="00CE577F" w:rsidRPr="009C5A9F" w:rsidRDefault="00CE577F" w:rsidP="00C63A3C">
            <w:pPr>
              <w:pStyle w:val="Zpat"/>
              <w:jc w:val="center"/>
              <w:rPr>
                <w:rFonts w:ascii="Verdana" w:hAnsi="Verdana"/>
              </w:rPr>
            </w:pPr>
            <w:r w:rsidRPr="009C5A9F">
              <w:rPr>
                <w:rFonts w:ascii="Verdana" w:hAnsi="Verdana"/>
                <w:noProof/>
                <w:lang w:eastAsia="cs-CZ"/>
              </w:rPr>
              <w:drawing>
                <wp:inline distT="0" distB="0" distL="0" distR="0" wp14:anchorId="2C6ABD72" wp14:editId="15F29303">
                  <wp:extent cx="1136488" cy="1136488"/>
                  <wp:effectExtent l="0" t="0" r="6985" b="6985"/>
                  <wp:docPr id="878" name="Obrázek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r>
      <w:tr w:rsidR="00CE577F" w:rsidRPr="009C5A9F" w14:paraId="48F9130E" w14:textId="77777777" w:rsidTr="00CE577F">
        <w:tc>
          <w:tcPr>
            <w:tcW w:w="2122" w:type="dxa"/>
            <w:vMerge/>
          </w:tcPr>
          <w:p w14:paraId="43FB5B8C" w14:textId="77777777" w:rsidR="00CE577F" w:rsidRPr="009C5A9F" w:rsidRDefault="00CE577F" w:rsidP="00C63A3C">
            <w:pPr>
              <w:pStyle w:val="Zpat"/>
              <w:jc w:val="both"/>
              <w:rPr>
                <w:rFonts w:ascii="Verdana" w:hAnsi="Verdana"/>
              </w:rPr>
            </w:pPr>
          </w:p>
        </w:tc>
        <w:tc>
          <w:tcPr>
            <w:tcW w:w="4167" w:type="dxa"/>
          </w:tcPr>
          <w:p w14:paraId="1CF3D35E" w14:textId="77777777" w:rsidR="00CE577F" w:rsidRPr="009C5A9F" w:rsidRDefault="00CE577F" w:rsidP="00842547">
            <w:pPr>
              <w:pStyle w:val="Zpat"/>
              <w:jc w:val="center"/>
              <w:rPr>
                <w:rFonts w:ascii="Verdana" w:hAnsi="Verdana"/>
                <w:b/>
              </w:rPr>
            </w:pPr>
            <w:r w:rsidRPr="009C5A9F">
              <w:rPr>
                <w:rFonts w:ascii="Verdana" w:hAnsi="Verdana"/>
                <w:b/>
              </w:rPr>
              <w:t>Vít Hradil</w:t>
            </w:r>
          </w:p>
          <w:p w14:paraId="510077E4" w14:textId="77777777" w:rsidR="00CE577F" w:rsidRPr="009C5A9F" w:rsidRDefault="00CE577F" w:rsidP="00842547">
            <w:pPr>
              <w:pStyle w:val="Zpat"/>
              <w:spacing w:after="240"/>
              <w:jc w:val="center"/>
              <w:rPr>
                <w:rFonts w:ascii="Verdana" w:hAnsi="Verdana"/>
                <w:sz w:val="14"/>
              </w:rPr>
            </w:pPr>
            <w:r w:rsidRPr="009C5A9F">
              <w:rPr>
                <w:rFonts w:ascii="Verdana" w:hAnsi="Verdana"/>
                <w:sz w:val="14"/>
              </w:rPr>
              <w:t>Hlavní ekonom CYRRUS</w:t>
            </w:r>
          </w:p>
        </w:tc>
        <w:tc>
          <w:tcPr>
            <w:tcW w:w="4167" w:type="dxa"/>
          </w:tcPr>
          <w:p w14:paraId="56F6D264" w14:textId="77777777" w:rsidR="00CE577F" w:rsidRPr="009C5A9F" w:rsidRDefault="00CE577F" w:rsidP="00842547">
            <w:pPr>
              <w:pStyle w:val="Zpat"/>
              <w:jc w:val="center"/>
              <w:rPr>
                <w:rFonts w:ascii="Verdana" w:hAnsi="Verdana"/>
                <w:b/>
              </w:rPr>
            </w:pPr>
            <w:r w:rsidRPr="009C5A9F">
              <w:rPr>
                <w:rFonts w:ascii="Verdana" w:hAnsi="Verdana"/>
                <w:b/>
              </w:rPr>
              <w:t>Tomáš Pfeiler, CFA</w:t>
            </w:r>
          </w:p>
          <w:p w14:paraId="55F23C1D" w14:textId="77777777" w:rsidR="00CE577F" w:rsidRPr="009C5A9F" w:rsidRDefault="00CE577F" w:rsidP="00842547">
            <w:pPr>
              <w:pStyle w:val="Zpat"/>
              <w:jc w:val="center"/>
              <w:rPr>
                <w:rFonts w:ascii="Verdana" w:hAnsi="Verdana"/>
              </w:rPr>
            </w:pPr>
            <w:r w:rsidRPr="009C5A9F">
              <w:rPr>
                <w:rFonts w:ascii="Verdana" w:hAnsi="Verdana"/>
                <w:sz w:val="14"/>
              </w:rPr>
              <w:t>Portfolio manažer CYRRUS</w:t>
            </w:r>
          </w:p>
        </w:tc>
      </w:tr>
      <w:tr w:rsidR="00CE577F" w:rsidRPr="009C5A9F" w14:paraId="1A2E2D0F" w14:textId="77777777" w:rsidTr="00CE577F">
        <w:tc>
          <w:tcPr>
            <w:tcW w:w="2122" w:type="dxa"/>
            <w:vMerge/>
          </w:tcPr>
          <w:p w14:paraId="165CD6DB" w14:textId="77777777" w:rsidR="00CE577F" w:rsidRPr="009C5A9F" w:rsidRDefault="00CE577F" w:rsidP="00C63A3C">
            <w:pPr>
              <w:pStyle w:val="Zpat"/>
              <w:jc w:val="both"/>
              <w:rPr>
                <w:rFonts w:ascii="Verdana" w:hAnsi="Verdana"/>
              </w:rPr>
            </w:pPr>
          </w:p>
        </w:tc>
        <w:tc>
          <w:tcPr>
            <w:tcW w:w="4167" w:type="dxa"/>
          </w:tcPr>
          <w:p w14:paraId="02AB5013" w14:textId="77777777" w:rsidR="00CE577F" w:rsidRPr="009C5A9F" w:rsidRDefault="00CE577F" w:rsidP="00C63A3C">
            <w:pPr>
              <w:jc w:val="center"/>
              <w:rPr>
                <w:rFonts w:ascii="Verdana" w:hAnsi="Verdana"/>
                <w:sz w:val="16"/>
              </w:rPr>
            </w:pPr>
            <w:r w:rsidRPr="009C5A9F">
              <w:rPr>
                <w:rFonts w:ascii="Verdana" w:hAnsi="Verdana"/>
                <w:sz w:val="16"/>
              </w:rPr>
              <w:t>277 021 816</w:t>
            </w:r>
            <w:r w:rsidRPr="009C5A9F">
              <w:rPr>
                <w:rFonts w:ascii="Verdana" w:hAnsi="Verdana"/>
                <w:sz w:val="16"/>
              </w:rPr>
              <w:br/>
              <w:t>vit.hradil@cyrrus.cz</w:t>
            </w:r>
          </w:p>
        </w:tc>
        <w:tc>
          <w:tcPr>
            <w:tcW w:w="4167" w:type="dxa"/>
          </w:tcPr>
          <w:p w14:paraId="035CCCEC" w14:textId="77777777" w:rsidR="00CE577F" w:rsidRPr="009C5A9F" w:rsidRDefault="00CE577F" w:rsidP="00C63A3C">
            <w:pPr>
              <w:pStyle w:val="Zpat"/>
              <w:jc w:val="center"/>
              <w:rPr>
                <w:rFonts w:ascii="Verdana" w:hAnsi="Verdana"/>
              </w:rPr>
            </w:pPr>
            <w:r w:rsidRPr="009C5A9F">
              <w:rPr>
                <w:rFonts w:ascii="Verdana" w:hAnsi="Verdana"/>
                <w:sz w:val="16"/>
              </w:rPr>
              <w:t>277 021 819</w:t>
            </w:r>
            <w:r w:rsidRPr="009C5A9F">
              <w:rPr>
                <w:rFonts w:ascii="Verdana" w:hAnsi="Verdana"/>
                <w:sz w:val="16"/>
              </w:rPr>
              <w:br/>
              <w:t>tomas.pfeiler@cyrrus.cz</w:t>
            </w:r>
          </w:p>
        </w:tc>
      </w:tr>
      <w:tr w:rsidR="00CE577F" w:rsidRPr="009C5A9F" w14:paraId="613B12CB" w14:textId="77777777" w:rsidTr="00CE577F">
        <w:trPr>
          <w:trHeight w:val="480"/>
        </w:trPr>
        <w:tc>
          <w:tcPr>
            <w:tcW w:w="2122" w:type="dxa"/>
            <w:vMerge/>
          </w:tcPr>
          <w:p w14:paraId="7883490E" w14:textId="77777777" w:rsidR="00CE577F" w:rsidRPr="009C5A9F" w:rsidRDefault="00CE577F" w:rsidP="00C63A3C">
            <w:pPr>
              <w:pStyle w:val="Zpat"/>
              <w:jc w:val="both"/>
              <w:rPr>
                <w:rFonts w:ascii="Verdana" w:hAnsi="Verdana"/>
              </w:rPr>
            </w:pPr>
          </w:p>
        </w:tc>
        <w:tc>
          <w:tcPr>
            <w:tcW w:w="4167" w:type="dxa"/>
            <w:vAlign w:val="center"/>
          </w:tcPr>
          <w:p w14:paraId="5F96A1B7" w14:textId="77777777" w:rsidR="00CE577F" w:rsidRPr="009C5A9F" w:rsidRDefault="00130B96" w:rsidP="00C63A3C">
            <w:pPr>
              <w:jc w:val="center"/>
              <w:rPr>
                <w:rFonts w:ascii="Verdana" w:hAnsi="Verdana"/>
                <w:sz w:val="16"/>
              </w:rPr>
            </w:pPr>
            <w:hyperlink r:id="rId19" w:history="1">
              <w:r w:rsidR="00CE577F" w:rsidRPr="009C5A9F">
                <w:rPr>
                  <w:rStyle w:val="Hypertextovodkaz"/>
                  <w:rFonts w:ascii="Verdana" w:hAnsi="Verdana"/>
                  <w:sz w:val="16"/>
                </w:rPr>
                <w:t>Fotografie</w:t>
              </w:r>
            </w:hyperlink>
          </w:p>
        </w:tc>
        <w:tc>
          <w:tcPr>
            <w:tcW w:w="4167" w:type="dxa"/>
            <w:vAlign w:val="center"/>
          </w:tcPr>
          <w:p w14:paraId="563F9B71" w14:textId="77777777" w:rsidR="00CE577F" w:rsidRPr="009C5A9F" w:rsidRDefault="00130B96" w:rsidP="00C63A3C">
            <w:pPr>
              <w:pStyle w:val="Zpat"/>
              <w:jc w:val="center"/>
              <w:rPr>
                <w:rFonts w:ascii="Verdana" w:hAnsi="Verdana"/>
                <w:sz w:val="16"/>
              </w:rPr>
            </w:pPr>
            <w:hyperlink r:id="rId20" w:history="1">
              <w:r w:rsidR="00CE577F" w:rsidRPr="009C5A9F">
                <w:rPr>
                  <w:rStyle w:val="Hypertextovodkaz"/>
                  <w:rFonts w:ascii="Verdana" w:hAnsi="Verdana"/>
                  <w:sz w:val="16"/>
                </w:rPr>
                <w:t>Fotografie</w:t>
              </w:r>
            </w:hyperlink>
          </w:p>
        </w:tc>
      </w:tr>
    </w:tbl>
    <w:p w14:paraId="639F3B86" w14:textId="2A7011C8" w:rsidR="00D64538" w:rsidRPr="009C5A9F" w:rsidRDefault="00D64538" w:rsidP="00D64538">
      <w:pPr>
        <w:spacing w:line="360" w:lineRule="auto"/>
        <w:jc w:val="both"/>
        <w:rPr>
          <w:rFonts w:ascii="Verdana" w:hAnsi="Verdana"/>
          <w:sz w:val="16"/>
          <w:szCs w:val="16"/>
          <w:lang w:eastAsia="cs-CZ"/>
        </w:rPr>
      </w:pPr>
      <w:r w:rsidRPr="009C5A9F">
        <w:rPr>
          <w:rFonts w:ascii="Verdana" w:hAnsi="Verdana"/>
          <w:sz w:val="16"/>
          <w:szCs w:val="16"/>
          <w:lang w:eastAsia="cs-CZ"/>
        </w:rPr>
        <w:t xml:space="preserve">Uzávěrka statistických dat: </w:t>
      </w:r>
      <w:proofErr w:type="gramStart"/>
      <w:r w:rsidR="00452CA6">
        <w:rPr>
          <w:rFonts w:ascii="Verdana" w:hAnsi="Verdana"/>
          <w:sz w:val="16"/>
          <w:szCs w:val="16"/>
          <w:lang w:eastAsia="cs-CZ"/>
        </w:rPr>
        <w:t>18</w:t>
      </w:r>
      <w:r w:rsidR="00364C7F">
        <w:rPr>
          <w:rFonts w:ascii="Verdana" w:hAnsi="Verdana"/>
          <w:sz w:val="16"/>
          <w:szCs w:val="16"/>
          <w:lang w:eastAsia="cs-CZ"/>
        </w:rPr>
        <w:t>.</w:t>
      </w:r>
      <w:r w:rsidR="00452CA6">
        <w:rPr>
          <w:rFonts w:ascii="Verdana" w:hAnsi="Verdana"/>
          <w:sz w:val="16"/>
          <w:szCs w:val="16"/>
          <w:lang w:eastAsia="cs-CZ"/>
        </w:rPr>
        <w:t>3</w:t>
      </w:r>
      <w:r w:rsidRPr="009C5A9F">
        <w:rPr>
          <w:rFonts w:ascii="Verdana" w:hAnsi="Verdana"/>
          <w:sz w:val="16"/>
          <w:szCs w:val="16"/>
          <w:lang w:eastAsia="cs-CZ"/>
        </w:rPr>
        <w:t>.202</w:t>
      </w:r>
      <w:r w:rsidR="00452CA6">
        <w:rPr>
          <w:rFonts w:ascii="Verdana" w:hAnsi="Verdana"/>
          <w:sz w:val="16"/>
          <w:szCs w:val="16"/>
          <w:lang w:eastAsia="cs-CZ"/>
        </w:rPr>
        <w:t>5</w:t>
      </w:r>
      <w:proofErr w:type="gramEnd"/>
    </w:p>
    <w:p w14:paraId="3F01DD86" w14:textId="77777777" w:rsidR="00C63A3C" w:rsidRPr="009C5A9F" w:rsidRDefault="00C63A3C" w:rsidP="00D64538">
      <w:pPr>
        <w:spacing w:line="360" w:lineRule="auto"/>
        <w:jc w:val="both"/>
        <w:rPr>
          <w:rFonts w:ascii="Verdana" w:hAnsi="Verdana"/>
          <w:sz w:val="16"/>
          <w:szCs w:val="16"/>
          <w:lang w:eastAsia="cs-CZ"/>
        </w:rPr>
      </w:pPr>
    </w:p>
    <w:sectPr w:rsidR="00C63A3C" w:rsidRPr="009C5A9F" w:rsidSect="006A0D7B">
      <w:pgSz w:w="11906" w:h="16838"/>
      <w:pgMar w:top="720" w:right="720" w:bottom="1701" w:left="720"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F50A" w14:textId="77777777" w:rsidR="00130B96" w:rsidRDefault="00130B96" w:rsidP="00605702">
      <w:pPr>
        <w:spacing w:after="0" w:line="240" w:lineRule="auto"/>
      </w:pPr>
      <w:r>
        <w:separator/>
      </w:r>
    </w:p>
  </w:endnote>
  <w:endnote w:type="continuationSeparator" w:id="0">
    <w:p w14:paraId="46A93DD5" w14:textId="77777777" w:rsidR="00130B96" w:rsidRDefault="00130B96" w:rsidP="006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panose1 w:val="00000000000000000000"/>
    <w:charset w:val="00"/>
    <w:family w:val="swiss"/>
    <w:notTrueType/>
    <w:pitch w:val="variable"/>
    <w:sig w:usb0="20000007" w:usb1="00000001" w:usb2="00000000" w:usb3="00000000" w:csb0="000001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a Text">
    <w:altName w:val="Arial"/>
    <w:panose1 w:val="00000500000000000000"/>
    <w:charset w:val="00"/>
    <w:family w:val="modern"/>
    <w:notTrueType/>
    <w:pitch w:val="variable"/>
    <w:sig w:usb0="80000207" w:usb1="00000073" w:usb2="00000000" w:usb3="00000000" w:csb0="00000097" w:csb1="00000000"/>
  </w:font>
  <w:font w:name="Verdana">
    <w:panose1 w:val="020B0604030504040204"/>
    <w:charset w:val="EE"/>
    <w:family w:val="swiss"/>
    <w:pitch w:val="variable"/>
    <w:sig w:usb0="A00006FF" w:usb1="4000205B" w:usb2="00000010" w:usb3="00000000" w:csb0="0000019F" w:csb1="00000000"/>
  </w:font>
  <w:font w:name="Roboto">
    <w:charset w:val="EE"/>
    <w:family w:val="auto"/>
    <w:pitch w:val="variable"/>
    <w:sig w:usb0="E00002FF" w:usb1="5000205B" w:usb2="00000020" w:usb3="00000000" w:csb0="0000019F" w:csb1="00000000"/>
  </w:font>
  <w:font w:name="Nexa Extra Bold">
    <w:altName w:val="Arial"/>
    <w:panose1 w:val="00000900000000000000"/>
    <w:charset w:val="00"/>
    <w:family w:val="modern"/>
    <w:notTrueType/>
    <w:pitch w:val="variable"/>
    <w:sig w:usb0="80000207" w:usb1="00000073" w:usb2="00000000" w:usb3="00000000" w:csb0="000000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rPr>
      <w:id w:val="-975989515"/>
      <w:docPartObj>
        <w:docPartGallery w:val="Page Numbers (Bottom of Page)"/>
        <w:docPartUnique/>
      </w:docPartObj>
    </w:sdtPr>
    <w:sdtEndPr/>
    <w:sdtContent>
      <w:p w14:paraId="24489106" w14:textId="5B757122" w:rsidR="00330297" w:rsidRPr="004C02B7" w:rsidRDefault="00330297">
        <w:pPr>
          <w:pStyle w:val="Zpat"/>
          <w:jc w:val="center"/>
          <w:rPr>
            <w:rFonts w:ascii="Verdana" w:hAnsi="Verdana"/>
          </w:rPr>
        </w:pPr>
        <w:r w:rsidRPr="004C02B7">
          <w:rPr>
            <w:rFonts w:ascii="Verdana" w:hAnsi="Verdana"/>
          </w:rPr>
          <w:fldChar w:fldCharType="begin"/>
        </w:r>
        <w:r w:rsidRPr="004C02B7">
          <w:rPr>
            <w:rFonts w:ascii="Verdana" w:hAnsi="Verdana"/>
          </w:rPr>
          <w:instrText>PAGE   \* MERGEFORMAT</w:instrText>
        </w:r>
        <w:r w:rsidRPr="004C02B7">
          <w:rPr>
            <w:rFonts w:ascii="Verdana" w:hAnsi="Verdana"/>
          </w:rPr>
          <w:fldChar w:fldCharType="separate"/>
        </w:r>
        <w:r w:rsidR="00EE34FE">
          <w:rPr>
            <w:rFonts w:ascii="Verdana" w:hAnsi="Verdana"/>
            <w:noProof/>
          </w:rPr>
          <w:t>2</w:t>
        </w:r>
        <w:r w:rsidRPr="004C02B7">
          <w:rPr>
            <w:rFonts w:ascii="Verdana" w:hAnsi="Verdana"/>
          </w:rPr>
          <w:fldChar w:fldCharType="end"/>
        </w:r>
      </w:p>
    </w:sdtContent>
  </w:sdt>
  <w:p w14:paraId="32F92566" w14:textId="77777777" w:rsidR="00330297" w:rsidRPr="004C02B7" w:rsidRDefault="00330297">
    <w:pPr>
      <w:pStyle w:val="Zpat"/>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3A557" w14:textId="77777777" w:rsidR="00130B96" w:rsidRDefault="00130B96" w:rsidP="00605702">
      <w:pPr>
        <w:spacing w:after="0" w:line="240" w:lineRule="auto"/>
      </w:pPr>
      <w:r>
        <w:separator/>
      </w:r>
    </w:p>
  </w:footnote>
  <w:footnote w:type="continuationSeparator" w:id="0">
    <w:p w14:paraId="4D6CBD73" w14:textId="77777777" w:rsidR="00130B96" w:rsidRDefault="00130B96" w:rsidP="0060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5421" w14:textId="1BFA9995" w:rsidR="00330297" w:rsidRPr="006A0D7B" w:rsidRDefault="00330297" w:rsidP="00E63AFF">
    <w:pPr>
      <w:pStyle w:val="Nadpis1"/>
      <w:rPr>
        <w:rFonts w:ascii="Verdana" w:eastAsiaTheme="minorHAnsi" w:hAnsi="Verdana" w:cs="Arial"/>
        <w:color w:val="FFC832"/>
        <w:sz w:val="36"/>
        <w:szCs w:val="36"/>
      </w:rPr>
    </w:pPr>
    <w:r w:rsidRPr="004874EA">
      <w:rPr>
        <w:rFonts w:ascii="Verdana" w:hAnsi="Verdana"/>
        <w:noProof/>
      </w:rPr>
      <w:drawing>
        <wp:anchor distT="0" distB="0" distL="114300" distR="114300" simplePos="0" relativeHeight="251657216" behindDoc="1" locked="0" layoutInCell="1" allowOverlap="1" wp14:anchorId="46188CC1" wp14:editId="36DCB240">
          <wp:simplePos x="0" y="0"/>
          <wp:positionH relativeFrom="column">
            <wp:posOffset>5199380</wp:posOffset>
          </wp:positionH>
          <wp:positionV relativeFrom="paragraph">
            <wp:posOffset>10795</wp:posOffset>
          </wp:positionV>
          <wp:extent cx="1553919" cy="300424"/>
          <wp:effectExtent l="0" t="0" r="825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RRU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919" cy="300424"/>
                  </a:xfrm>
                  <a:prstGeom prst="rect">
                    <a:avLst/>
                  </a:prstGeom>
                  <a:noFill/>
                </pic:spPr>
              </pic:pic>
            </a:graphicData>
          </a:graphic>
          <wp14:sizeRelH relativeFrom="page">
            <wp14:pctWidth>0</wp14:pctWidth>
          </wp14:sizeRelH>
          <wp14:sizeRelV relativeFrom="page">
            <wp14:pctHeight>0</wp14:pctHeight>
          </wp14:sizeRelV>
        </wp:anchor>
      </w:drawing>
    </w:r>
    <w:r w:rsidRPr="004874EA">
      <w:rPr>
        <w:rFonts w:ascii="Verdana" w:eastAsiaTheme="minorHAnsi" w:hAnsi="Verdana" w:cs="Arial"/>
        <w:color w:val="FFC832"/>
        <w:sz w:val="36"/>
        <w:szCs w:val="36"/>
      </w:rPr>
      <w:t>Analýza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ED1"/>
    <w:multiLevelType w:val="hybridMultilevel"/>
    <w:tmpl w:val="A6385672"/>
    <w:lvl w:ilvl="0" w:tplc="C4B02354">
      <w:start w:val="19"/>
      <w:numFmt w:val="decimal"/>
      <w:lvlText w:val="%1"/>
      <w:lvlJc w:val="left"/>
      <w:pPr>
        <w:ind w:left="720" w:hanging="360"/>
      </w:pPr>
      <w:rPr>
        <w:rFonts w:ascii="Calibri" w:hAnsi="Calibri" w:cs="Calibri"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AE192D"/>
    <w:multiLevelType w:val="hybridMultilevel"/>
    <w:tmpl w:val="306040F6"/>
    <w:lvl w:ilvl="0" w:tplc="9D4CE74C">
      <w:start w:val="1"/>
      <w:numFmt w:val="bullet"/>
      <w:lvlText w:val="-"/>
      <w:lvlJc w:val="left"/>
      <w:pPr>
        <w:ind w:left="770" w:hanging="360"/>
      </w:pPr>
      <w:rPr>
        <w:rFonts w:ascii="Source Sans Pro" w:hAnsi="Source Sans Pro" w:hint="default"/>
        <w:b/>
        <w:i w:val="0"/>
        <w:color w:val="F47929" w:themeColor="text2"/>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089A339D"/>
    <w:multiLevelType w:val="hybridMultilevel"/>
    <w:tmpl w:val="1474F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93EAF"/>
    <w:multiLevelType w:val="hybridMultilevel"/>
    <w:tmpl w:val="5FC21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F9373C"/>
    <w:multiLevelType w:val="hybridMultilevel"/>
    <w:tmpl w:val="909C32B0"/>
    <w:lvl w:ilvl="0" w:tplc="DF06980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FA3E07"/>
    <w:multiLevelType w:val="hybridMultilevel"/>
    <w:tmpl w:val="C6C8585E"/>
    <w:lvl w:ilvl="0" w:tplc="EB769EC0">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751293"/>
    <w:multiLevelType w:val="hybridMultilevel"/>
    <w:tmpl w:val="6718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F61C8C"/>
    <w:multiLevelType w:val="hybridMultilevel"/>
    <w:tmpl w:val="9F1EB58C"/>
    <w:lvl w:ilvl="0" w:tplc="F8045EB4">
      <w:start w:val="2"/>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570E07"/>
    <w:multiLevelType w:val="hybridMultilevel"/>
    <w:tmpl w:val="92C2BF96"/>
    <w:lvl w:ilvl="0" w:tplc="9E8E5604">
      <w:start w:val="1"/>
      <w:numFmt w:val="bullet"/>
      <w:lvlText w:val=""/>
      <w:lvlJc w:val="left"/>
      <w:pPr>
        <w:ind w:left="720" w:hanging="72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E96336"/>
    <w:multiLevelType w:val="hybridMultilevel"/>
    <w:tmpl w:val="1474F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CF674E"/>
    <w:multiLevelType w:val="hybridMultilevel"/>
    <w:tmpl w:val="DF5206E0"/>
    <w:lvl w:ilvl="0" w:tplc="5D12D01E">
      <w:start w:val="1"/>
      <w:numFmt w:val="bullet"/>
      <w:lvlText w:val=""/>
      <w:lvlJc w:val="left"/>
      <w:pPr>
        <w:ind w:left="284" w:hanging="284"/>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72765D"/>
    <w:multiLevelType w:val="hybridMultilevel"/>
    <w:tmpl w:val="9726F3A4"/>
    <w:lvl w:ilvl="0" w:tplc="4E74218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5A45D9"/>
    <w:multiLevelType w:val="hybridMultilevel"/>
    <w:tmpl w:val="ABC8919C"/>
    <w:lvl w:ilvl="0" w:tplc="36861C36">
      <w:numFmt w:val="bullet"/>
      <w:lvlText w:val="-"/>
      <w:lvlJc w:val="left"/>
      <w:pPr>
        <w:ind w:left="720" w:hanging="360"/>
      </w:pPr>
      <w:rPr>
        <w:rFonts w:ascii="Nexa Text" w:eastAsiaTheme="minorHAnsi" w:hAnsi="Nexa Text"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8602D9A"/>
    <w:multiLevelType w:val="hybridMultilevel"/>
    <w:tmpl w:val="0EB815B8"/>
    <w:lvl w:ilvl="0" w:tplc="6E6233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2F2626"/>
    <w:multiLevelType w:val="hybridMultilevel"/>
    <w:tmpl w:val="59D25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BC57D6"/>
    <w:multiLevelType w:val="hybridMultilevel"/>
    <w:tmpl w:val="635AD884"/>
    <w:lvl w:ilvl="0" w:tplc="54B05ED4">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F661D8"/>
    <w:multiLevelType w:val="hybridMultilevel"/>
    <w:tmpl w:val="CAA6C056"/>
    <w:lvl w:ilvl="0" w:tplc="9D4CE74C">
      <w:start w:val="1"/>
      <w:numFmt w:val="bullet"/>
      <w:lvlText w:val="-"/>
      <w:lvlJc w:val="left"/>
      <w:pPr>
        <w:ind w:left="720" w:hanging="360"/>
      </w:pPr>
      <w:rPr>
        <w:rFonts w:ascii="Source Sans Pro" w:hAnsi="Source Sans Pro" w:hint="default"/>
        <w:b/>
        <w:i w:val="0"/>
        <w:color w:val="F47929"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774D4D"/>
    <w:multiLevelType w:val="hybridMultilevel"/>
    <w:tmpl w:val="70FE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FAB13F3"/>
    <w:multiLevelType w:val="hybridMultilevel"/>
    <w:tmpl w:val="5622AA30"/>
    <w:lvl w:ilvl="0" w:tplc="04050011">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1"/>
  </w:num>
  <w:num w:numId="5">
    <w:abstractNumId w:val="14"/>
  </w:num>
  <w:num w:numId="6">
    <w:abstractNumId w:val="12"/>
  </w:num>
  <w:num w:numId="7">
    <w:abstractNumId w:val="5"/>
  </w:num>
  <w:num w:numId="8">
    <w:abstractNumId w:val="6"/>
  </w:num>
  <w:num w:numId="9">
    <w:abstractNumId w:val="8"/>
  </w:num>
  <w:num w:numId="10">
    <w:abstractNumId w:val="10"/>
  </w:num>
  <w:num w:numId="11">
    <w:abstractNumId w:val="9"/>
  </w:num>
  <w:num w:numId="12">
    <w:abstractNumId w:val="15"/>
  </w:num>
  <w:num w:numId="13">
    <w:abstractNumId w:val="2"/>
  </w:num>
  <w:num w:numId="14">
    <w:abstractNumId w:val="0"/>
  </w:num>
  <w:num w:numId="15">
    <w:abstractNumId w:val="18"/>
  </w:num>
  <w:num w:numId="16">
    <w:abstractNumId w:val="3"/>
  </w:num>
  <w:num w:numId="17">
    <w:abstractNumId w:val="4"/>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DE"/>
    <w:rsid w:val="00021FFE"/>
    <w:rsid w:val="00025647"/>
    <w:rsid w:val="00025B8E"/>
    <w:rsid w:val="000362FE"/>
    <w:rsid w:val="0004396C"/>
    <w:rsid w:val="000463AA"/>
    <w:rsid w:val="00050675"/>
    <w:rsid w:val="000516C4"/>
    <w:rsid w:val="00054CFF"/>
    <w:rsid w:val="00060AD9"/>
    <w:rsid w:val="000740C8"/>
    <w:rsid w:val="00080328"/>
    <w:rsid w:val="00080862"/>
    <w:rsid w:val="000A03F9"/>
    <w:rsid w:val="000A13FB"/>
    <w:rsid w:val="000A2BD4"/>
    <w:rsid w:val="000A4CDF"/>
    <w:rsid w:val="000B40A8"/>
    <w:rsid w:val="000B5FCC"/>
    <w:rsid w:val="000B7462"/>
    <w:rsid w:val="000C7EC4"/>
    <w:rsid w:val="000E2216"/>
    <w:rsid w:val="000E4833"/>
    <w:rsid w:val="000E7350"/>
    <w:rsid w:val="000F003F"/>
    <w:rsid w:val="000F0494"/>
    <w:rsid w:val="000F0A0B"/>
    <w:rsid w:val="000F1556"/>
    <w:rsid w:val="00105262"/>
    <w:rsid w:val="00105F42"/>
    <w:rsid w:val="0010615E"/>
    <w:rsid w:val="001074FB"/>
    <w:rsid w:val="00107B7C"/>
    <w:rsid w:val="00112B06"/>
    <w:rsid w:val="00113A53"/>
    <w:rsid w:val="00120019"/>
    <w:rsid w:val="00126815"/>
    <w:rsid w:val="00130B96"/>
    <w:rsid w:val="00132B08"/>
    <w:rsid w:val="00132FF3"/>
    <w:rsid w:val="0013400C"/>
    <w:rsid w:val="00152759"/>
    <w:rsid w:val="001624B3"/>
    <w:rsid w:val="001638F0"/>
    <w:rsid w:val="0016562E"/>
    <w:rsid w:val="0018494C"/>
    <w:rsid w:val="001A2388"/>
    <w:rsid w:val="001A3BF8"/>
    <w:rsid w:val="001B0CDB"/>
    <w:rsid w:val="001B5AA0"/>
    <w:rsid w:val="001C1CA8"/>
    <w:rsid w:val="001C649B"/>
    <w:rsid w:val="001C718D"/>
    <w:rsid w:val="001D211F"/>
    <w:rsid w:val="001D426E"/>
    <w:rsid w:val="001D51D8"/>
    <w:rsid w:val="001E1615"/>
    <w:rsid w:val="001E6C3E"/>
    <w:rsid w:val="001E6E62"/>
    <w:rsid w:val="00202AC7"/>
    <w:rsid w:val="002030DE"/>
    <w:rsid w:val="00205EC9"/>
    <w:rsid w:val="002067BB"/>
    <w:rsid w:val="00211D28"/>
    <w:rsid w:val="00212218"/>
    <w:rsid w:val="00213745"/>
    <w:rsid w:val="0021570E"/>
    <w:rsid w:val="00216737"/>
    <w:rsid w:val="00223171"/>
    <w:rsid w:val="002238AD"/>
    <w:rsid w:val="00224113"/>
    <w:rsid w:val="00224765"/>
    <w:rsid w:val="00225720"/>
    <w:rsid w:val="00226584"/>
    <w:rsid w:val="00233F18"/>
    <w:rsid w:val="0023536F"/>
    <w:rsid w:val="00237318"/>
    <w:rsid w:val="002518E5"/>
    <w:rsid w:val="00253EBB"/>
    <w:rsid w:val="00257481"/>
    <w:rsid w:val="00261B03"/>
    <w:rsid w:val="00265FCD"/>
    <w:rsid w:val="002760ED"/>
    <w:rsid w:val="0027787B"/>
    <w:rsid w:val="00281EE0"/>
    <w:rsid w:val="002857A3"/>
    <w:rsid w:val="00290770"/>
    <w:rsid w:val="00295B81"/>
    <w:rsid w:val="00297B6D"/>
    <w:rsid w:val="002A5F0B"/>
    <w:rsid w:val="002B3AA3"/>
    <w:rsid w:val="002B3F70"/>
    <w:rsid w:val="002B48CC"/>
    <w:rsid w:val="002C1A8D"/>
    <w:rsid w:val="002C43A1"/>
    <w:rsid w:val="002D0788"/>
    <w:rsid w:val="002D3F8A"/>
    <w:rsid w:val="002E222D"/>
    <w:rsid w:val="002F06B0"/>
    <w:rsid w:val="002F3A57"/>
    <w:rsid w:val="002F7416"/>
    <w:rsid w:val="002F759E"/>
    <w:rsid w:val="00303103"/>
    <w:rsid w:val="003103C7"/>
    <w:rsid w:val="00311BBC"/>
    <w:rsid w:val="00311C73"/>
    <w:rsid w:val="00314B23"/>
    <w:rsid w:val="00315366"/>
    <w:rsid w:val="00317CC4"/>
    <w:rsid w:val="00320A11"/>
    <w:rsid w:val="003233D9"/>
    <w:rsid w:val="00324D55"/>
    <w:rsid w:val="00330297"/>
    <w:rsid w:val="003303FC"/>
    <w:rsid w:val="00331927"/>
    <w:rsid w:val="00332635"/>
    <w:rsid w:val="00336DF1"/>
    <w:rsid w:val="00343C11"/>
    <w:rsid w:val="003630E6"/>
    <w:rsid w:val="00364C2D"/>
    <w:rsid w:val="00364C7F"/>
    <w:rsid w:val="00367AB0"/>
    <w:rsid w:val="00374DBE"/>
    <w:rsid w:val="00381E65"/>
    <w:rsid w:val="003838B3"/>
    <w:rsid w:val="00393C79"/>
    <w:rsid w:val="003961A5"/>
    <w:rsid w:val="003A1C1C"/>
    <w:rsid w:val="003A3E9A"/>
    <w:rsid w:val="003A580C"/>
    <w:rsid w:val="003B0F0D"/>
    <w:rsid w:val="003B61CA"/>
    <w:rsid w:val="003B6D90"/>
    <w:rsid w:val="003C4956"/>
    <w:rsid w:val="003C7EC0"/>
    <w:rsid w:val="003F1F5C"/>
    <w:rsid w:val="003F206E"/>
    <w:rsid w:val="003F72AE"/>
    <w:rsid w:val="0040454A"/>
    <w:rsid w:val="00410909"/>
    <w:rsid w:val="004129FA"/>
    <w:rsid w:val="00417717"/>
    <w:rsid w:val="00420747"/>
    <w:rsid w:val="00421537"/>
    <w:rsid w:val="00421D5F"/>
    <w:rsid w:val="00422F7C"/>
    <w:rsid w:val="0044369C"/>
    <w:rsid w:val="004457D9"/>
    <w:rsid w:val="00452CA6"/>
    <w:rsid w:val="00461831"/>
    <w:rsid w:val="00470B3A"/>
    <w:rsid w:val="00475AB1"/>
    <w:rsid w:val="00483608"/>
    <w:rsid w:val="0048364E"/>
    <w:rsid w:val="004874EA"/>
    <w:rsid w:val="004928ED"/>
    <w:rsid w:val="00495056"/>
    <w:rsid w:val="004A223B"/>
    <w:rsid w:val="004A53F4"/>
    <w:rsid w:val="004B4A3F"/>
    <w:rsid w:val="004C02B7"/>
    <w:rsid w:val="004C433E"/>
    <w:rsid w:val="004C5C4B"/>
    <w:rsid w:val="004C781F"/>
    <w:rsid w:val="004D344F"/>
    <w:rsid w:val="004F0295"/>
    <w:rsid w:val="00511D6F"/>
    <w:rsid w:val="00512185"/>
    <w:rsid w:val="005141FC"/>
    <w:rsid w:val="00520695"/>
    <w:rsid w:val="005228AC"/>
    <w:rsid w:val="00524F63"/>
    <w:rsid w:val="00535AF7"/>
    <w:rsid w:val="005553CC"/>
    <w:rsid w:val="005657D9"/>
    <w:rsid w:val="005701D0"/>
    <w:rsid w:val="00576CC1"/>
    <w:rsid w:val="00580347"/>
    <w:rsid w:val="0058642F"/>
    <w:rsid w:val="0059171F"/>
    <w:rsid w:val="00593E70"/>
    <w:rsid w:val="005A0757"/>
    <w:rsid w:val="005B15ED"/>
    <w:rsid w:val="005B5EEB"/>
    <w:rsid w:val="005C3BFC"/>
    <w:rsid w:val="005F0C9A"/>
    <w:rsid w:val="00600BF6"/>
    <w:rsid w:val="006040EA"/>
    <w:rsid w:val="00605702"/>
    <w:rsid w:val="00606E76"/>
    <w:rsid w:val="00607F26"/>
    <w:rsid w:val="00620CC1"/>
    <w:rsid w:val="0063356F"/>
    <w:rsid w:val="0064000F"/>
    <w:rsid w:val="00640C91"/>
    <w:rsid w:val="006462C9"/>
    <w:rsid w:val="0064695A"/>
    <w:rsid w:val="00647CBF"/>
    <w:rsid w:val="00654DE1"/>
    <w:rsid w:val="0065500F"/>
    <w:rsid w:val="0065552E"/>
    <w:rsid w:val="006560F4"/>
    <w:rsid w:val="006634EC"/>
    <w:rsid w:val="006642B2"/>
    <w:rsid w:val="00671096"/>
    <w:rsid w:val="00684DDF"/>
    <w:rsid w:val="00685B93"/>
    <w:rsid w:val="00687909"/>
    <w:rsid w:val="006A0D7B"/>
    <w:rsid w:val="006A36C1"/>
    <w:rsid w:val="006A4BCD"/>
    <w:rsid w:val="006B0018"/>
    <w:rsid w:val="006B0B8C"/>
    <w:rsid w:val="006B2C9D"/>
    <w:rsid w:val="006B330E"/>
    <w:rsid w:val="006B4745"/>
    <w:rsid w:val="006C15F8"/>
    <w:rsid w:val="006C1BCE"/>
    <w:rsid w:val="006D170A"/>
    <w:rsid w:val="006E18FA"/>
    <w:rsid w:val="006E55CA"/>
    <w:rsid w:val="006E6736"/>
    <w:rsid w:val="006F2AF4"/>
    <w:rsid w:val="007020FE"/>
    <w:rsid w:val="00702923"/>
    <w:rsid w:val="00715F4D"/>
    <w:rsid w:val="00723AF2"/>
    <w:rsid w:val="00723F0C"/>
    <w:rsid w:val="00724EB5"/>
    <w:rsid w:val="00743DDD"/>
    <w:rsid w:val="00752B29"/>
    <w:rsid w:val="007541E2"/>
    <w:rsid w:val="00754FD0"/>
    <w:rsid w:val="00757DD8"/>
    <w:rsid w:val="007644BC"/>
    <w:rsid w:val="0077048A"/>
    <w:rsid w:val="00776B31"/>
    <w:rsid w:val="00776D65"/>
    <w:rsid w:val="00781BAF"/>
    <w:rsid w:val="00783DEA"/>
    <w:rsid w:val="007851C0"/>
    <w:rsid w:val="00792E2A"/>
    <w:rsid w:val="00793DBD"/>
    <w:rsid w:val="007A024E"/>
    <w:rsid w:val="007A04CF"/>
    <w:rsid w:val="007A209B"/>
    <w:rsid w:val="007B2C97"/>
    <w:rsid w:val="007C2F6E"/>
    <w:rsid w:val="007C32BA"/>
    <w:rsid w:val="007C7E62"/>
    <w:rsid w:val="007D2B7C"/>
    <w:rsid w:val="007D2C90"/>
    <w:rsid w:val="007D4394"/>
    <w:rsid w:val="007D70DD"/>
    <w:rsid w:val="007E58EA"/>
    <w:rsid w:val="007E6A43"/>
    <w:rsid w:val="007F0B04"/>
    <w:rsid w:val="007F2B6D"/>
    <w:rsid w:val="007F4FFC"/>
    <w:rsid w:val="0080343F"/>
    <w:rsid w:val="0080693F"/>
    <w:rsid w:val="008076BE"/>
    <w:rsid w:val="008125F8"/>
    <w:rsid w:val="00815E01"/>
    <w:rsid w:val="00820A7E"/>
    <w:rsid w:val="008274D4"/>
    <w:rsid w:val="00830520"/>
    <w:rsid w:val="00842547"/>
    <w:rsid w:val="00857CD9"/>
    <w:rsid w:val="00863144"/>
    <w:rsid w:val="008658F1"/>
    <w:rsid w:val="00865C22"/>
    <w:rsid w:val="00872F87"/>
    <w:rsid w:val="00877D76"/>
    <w:rsid w:val="00893B70"/>
    <w:rsid w:val="008969A5"/>
    <w:rsid w:val="008A0F57"/>
    <w:rsid w:val="008A5174"/>
    <w:rsid w:val="008B02AC"/>
    <w:rsid w:val="008B1E2B"/>
    <w:rsid w:val="008B489C"/>
    <w:rsid w:val="008C090A"/>
    <w:rsid w:val="008C11D4"/>
    <w:rsid w:val="008C15D9"/>
    <w:rsid w:val="008D183F"/>
    <w:rsid w:val="008D212B"/>
    <w:rsid w:val="008E247B"/>
    <w:rsid w:val="008E5D93"/>
    <w:rsid w:val="008E612B"/>
    <w:rsid w:val="009045C2"/>
    <w:rsid w:val="00904DAA"/>
    <w:rsid w:val="00906AF7"/>
    <w:rsid w:val="0091267A"/>
    <w:rsid w:val="00920450"/>
    <w:rsid w:val="009257A9"/>
    <w:rsid w:val="00925BF7"/>
    <w:rsid w:val="00926383"/>
    <w:rsid w:val="00926BE1"/>
    <w:rsid w:val="009270C2"/>
    <w:rsid w:val="00930CA3"/>
    <w:rsid w:val="00941305"/>
    <w:rsid w:val="00941FBD"/>
    <w:rsid w:val="00951B9A"/>
    <w:rsid w:val="00972402"/>
    <w:rsid w:val="009745D7"/>
    <w:rsid w:val="009751FB"/>
    <w:rsid w:val="00980DB9"/>
    <w:rsid w:val="0098311D"/>
    <w:rsid w:val="0098560E"/>
    <w:rsid w:val="009876B8"/>
    <w:rsid w:val="0099354B"/>
    <w:rsid w:val="00993D93"/>
    <w:rsid w:val="00997F5C"/>
    <w:rsid w:val="009A1CD3"/>
    <w:rsid w:val="009B20B1"/>
    <w:rsid w:val="009B2D00"/>
    <w:rsid w:val="009B5949"/>
    <w:rsid w:val="009B595B"/>
    <w:rsid w:val="009C5A9F"/>
    <w:rsid w:val="009C5E04"/>
    <w:rsid w:val="009D0819"/>
    <w:rsid w:val="009D4FCD"/>
    <w:rsid w:val="009E4E88"/>
    <w:rsid w:val="009F1029"/>
    <w:rsid w:val="00A03B09"/>
    <w:rsid w:val="00A05885"/>
    <w:rsid w:val="00A06C99"/>
    <w:rsid w:val="00A07CB4"/>
    <w:rsid w:val="00A208AC"/>
    <w:rsid w:val="00A21D4F"/>
    <w:rsid w:val="00A21E6F"/>
    <w:rsid w:val="00A236E5"/>
    <w:rsid w:val="00A33605"/>
    <w:rsid w:val="00A42961"/>
    <w:rsid w:val="00A435FF"/>
    <w:rsid w:val="00A44949"/>
    <w:rsid w:val="00A47FAA"/>
    <w:rsid w:val="00A54C52"/>
    <w:rsid w:val="00A56B04"/>
    <w:rsid w:val="00A574B8"/>
    <w:rsid w:val="00A6080B"/>
    <w:rsid w:val="00A63F7C"/>
    <w:rsid w:val="00A6787C"/>
    <w:rsid w:val="00A75A3C"/>
    <w:rsid w:val="00A808C4"/>
    <w:rsid w:val="00A81BE9"/>
    <w:rsid w:val="00A81E49"/>
    <w:rsid w:val="00A909D9"/>
    <w:rsid w:val="00A90E95"/>
    <w:rsid w:val="00A928E2"/>
    <w:rsid w:val="00A940BF"/>
    <w:rsid w:val="00AA34C0"/>
    <w:rsid w:val="00AA40B7"/>
    <w:rsid w:val="00AB1AB4"/>
    <w:rsid w:val="00AB1EE7"/>
    <w:rsid w:val="00AB3771"/>
    <w:rsid w:val="00AB59D1"/>
    <w:rsid w:val="00AB6C13"/>
    <w:rsid w:val="00AC1328"/>
    <w:rsid w:val="00AC1BED"/>
    <w:rsid w:val="00AD3F63"/>
    <w:rsid w:val="00AD7FAD"/>
    <w:rsid w:val="00AE2F60"/>
    <w:rsid w:val="00AE41EF"/>
    <w:rsid w:val="00AE6810"/>
    <w:rsid w:val="00B03155"/>
    <w:rsid w:val="00B13000"/>
    <w:rsid w:val="00B142EB"/>
    <w:rsid w:val="00B15547"/>
    <w:rsid w:val="00B17EF6"/>
    <w:rsid w:val="00B22258"/>
    <w:rsid w:val="00B30D9F"/>
    <w:rsid w:val="00B3223B"/>
    <w:rsid w:val="00B333BC"/>
    <w:rsid w:val="00B348F4"/>
    <w:rsid w:val="00B42F57"/>
    <w:rsid w:val="00B43054"/>
    <w:rsid w:val="00B43FDE"/>
    <w:rsid w:val="00B5366B"/>
    <w:rsid w:val="00B53907"/>
    <w:rsid w:val="00B55853"/>
    <w:rsid w:val="00B60F41"/>
    <w:rsid w:val="00B700F2"/>
    <w:rsid w:val="00B71A42"/>
    <w:rsid w:val="00B72B91"/>
    <w:rsid w:val="00B809D6"/>
    <w:rsid w:val="00B812F5"/>
    <w:rsid w:val="00B82807"/>
    <w:rsid w:val="00B86933"/>
    <w:rsid w:val="00B91CD9"/>
    <w:rsid w:val="00B94416"/>
    <w:rsid w:val="00B95FFB"/>
    <w:rsid w:val="00B960CE"/>
    <w:rsid w:val="00B960D4"/>
    <w:rsid w:val="00BA68E7"/>
    <w:rsid w:val="00BC1CD2"/>
    <w:rsid w:val="00BD2D44"/>
    <w:rsid w:val="00BF0523"/>
    <w:rsid w:val="00BF0647"/>
    <w:rsid w:val="00BF3436"/>
    <w:rsid w:val="00BF6FE0"/>
    <w:rsid w:val="00C11428"/>
    <w:rsid w:val="00C12C40"/>
    <w:rsid w:val="00C12E92"/>
    <w:rsid w:val="00C229A9"/>
    <w:rsid w:val="00C27147"/>
    <w:rsid w:val="00C36E42"/>
    <w:rsid w:val="00C44373"/>
    <w:rsid w:val="00C4736C"/>
    <w:rsid w:val="00C537B8"/>
    <w:rsid w:val="00C55EAB"/>
    <w:rsid w:val="00C63A3C"/>
    <w:rsid w:val="00C71BA5"/>
    <w:rsid w:val="00C732BA"/>
    <w:rsid w:val="00C756E6"/>
    <w:rsid w:val="00C81A45"/>
    <w:rsid w:val="00C82E0C"/>
    <w:rsid w:val="00C8580B"/>
    <w:rsid w:val="00C90383"/>
    <w:rsid w:val="00C90AFF"/>
    <w:rsid w:val="00CA0914"/>
    <w:rsid w:val="00CA22CA"/>
    <w:rsid w:val="00CA4224"/>
    <w:rsid w:val="00CA46A3"/>
    <w:rsid w:val="00CB0113"/>
    <w:rsid w:val="00CB6F69"/>
    <w:rsid w:val="00CC169C"/>
    <w:rsid w:val="00CC2321"/>
    <w:rsid w:val="00CC323B"/>
    <w:rsid w:val="00CC7DB7"/>
    <w:rsid w:val="00CD6427"/>
    <w:rsid w:val="00CE494E"/>
    <w:rsid w:val="00CE577F"/>
    <w:rsid w:val="00CE5822"/>
    <w:rsid w:val="00CF010E"/>
    <w:rsid w:val="00CF6C4A"/>
    <w:rsid w:val="00D01AF2"/>
    <w:rsid w:val="00D01EA4"/>
    <w:rsid w:val="00D03598"/>
    <w:rsid w:val="00D03FBE"/>
    <w:rsid w:val="00D10C5E"/>
    <w:rsid w:val="00D15F9C"/>
    <w:rsid w:val="00D4618A"/>
    <w:rsid w:val="00D54491"/>
    <w:rsid w:val="00D5715D"/>
    <w:rsid w:val="00D64538"/>
    <w:rsid w:val="00D77796"/>
    <w:rsid w:val="00D911D9"/>
    <w:rsid w:val="00D915F3"/>
    <w:rsid w:val="00D93C41"/>
    <w:rsid w:val="00D97558"/>
    <w:rsid w:val="00D97EC9"/>
    <w:rsid w:val="00DA0755"/>
    <w:rsid w:val="00DA2898"/>
    <w:rsid w:val="00DA62B6"/>
    <w:rsid w:val="00DB5359"/>
    <w:rsid w:val="00DB543C"/>
    <w:rsid w:val="00DD3177"/>
    <w:rsid w:val="00DD72D3"/>
    <w:rsid w:val="00DE0EDC"/>
    <w:rsid w:val="00DE1105"/>
    <w:rsid w:val="00DE6035"/>
    <w:rsid w:val="00DF0EDF"/>
    <w:rsid w:val="00DF1381"/>
    <w:rsid w:val="00DF1CC1"/>
    <w:rsid w:val="00E05B51"/>
    <w:rsid w:val="00E11679"/>
    <w:rsid w:val="00E13091"/>
    <w:rsid w:val="00E16B15"/>
    <w:rsid w:val="00E2486F"/>
    <w:rsid w:val="00E25928"/>
    <w:rsid w:val="00E3241B"/>
    <w:rsid w:val="00E35270"/>
    <w:rsid w:val="00E4423E"/>
    <w:rsid w:val="00E57F22"/>
    <w:rsid w:val="00E63AFF"/>
    <w:rsid w:val="00E66F9E"/>
    <w:rsid w:val="00E71371"/>
    <w:rsid w:val="00E73D70"/>
    <w:rsid w:val="00E80C93"/>
    <w:rsid w:val="00E94448"/>
    <w:rsid w:val="00EB1EA7"/>
    <w:rsid w:val="00EE34FE"/>
    <w:rsid w:val="00EE7AA6"/>
    <w:rsid w:val="00F02181"/>
    <w:rsid w:val="00F20A90"/>
    <w:rsid w:val="00F265B2"/>
    <w:rsid w:val="00F271FF"/>
    <w:rsid w:val="00F272C2"/>
    <w:rsid w:val="00F31081"/>
    <w:rsid w:val="00F320A4"/>
    <w:rsid w:val="00F401F5"/>
    <w:rsid w:val="00F406E5"/>
    <w:rsid w:val="00F41E87"/>
    <w:rsid w:val="00F50ABB"/>
    <w:rsid w:val="00F60197"/>
    <w:rsid w:val="00F62A58"/>
    <w:rsid w:val="00F6458F"/>
    <w:rsid w:val="00F6491C"/>
    <w:rsid w:val="00F70750"/>
    <w:rsid w:val="00F7260B"/>
    <w:rsid w:val="00F7795C"/>
    <w:rsid w:val="00F8603F"/>
    <w:rsid w:val="00F914E0"/>
    <w:rsid w:val="00F96A09"/>
    <w:rsid w:val="00FA1023"/>
    <w:rsid w:val="00FA32EB"/>
    <w:rsid w:val="00FA3652"/>
    <w:rsid w:val="00FC295D"/>
    <w:rsid w:val="00FC485F"/>
    <w:rsid w:val="00FC6F2E"/>
    <w:rsid w:val="00FD5B70"/>
    <w:rsid w:val="00FD71AB"/>
    <w:rsid w:val="00FE1608"/>
    <w:rsid w:val="00FE1E22"/>
    <w:rsid w:val="00FF0C0D"/>
    <w:rsid w:val="00FF27AA"/>
    <w:rsid w:val="00FF5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6BF2C"/>
  <w15:chartTrackingRefBased/>
  <w15:docId w15:val="{FD9B89A7-1E5E-4865-9E37-354F1242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737"/>
    <w:rPr>
      <w:sz w:val="18"/>
    </w:rPr>
  </w:style>
  <w:style w:type="paragraph" w:styleId="Nadpis1">
    <w:name w:val="heading 1"/>
    <w:basedOn w:val="Normln"/>
    <w:link w:val="Nadpis1Char"/>
    <w:uiPriority w:val="9"/>
    <w:qFormat/>
    <w:rsid w:val="00AB1AB4"/>
    <w:pPr>
      <w:spacing w:before="100" w:beforeAutospacing="1" w:after="100" w:afterAutospacing="1" w:line="240" w:lineRule="auto"/>
      <w:outlineLvl w:val="0"/>
    </w:pPr>
    <w:rPr>
      <w:rFonts w:asciiTheme="majorHAnsi" w:eastAsia="Times New Roman" w:hAnsiTheme="majorHAnsi" w:cs="Times New Roman"/>
      <w:b/>
      <w:bCs/>
      <w:kern w:val="36"/>
      <w:sz w:val="48"/>
      <w:szCs w:val="48"/>
      <w:lang w:eastAsia="cs-CZ"/>
    </w:rPr>
  </w:style>
  <w:style w:type="paragraph" w:styleId="Nadpis2">
    <w:name w:val="heading 2"/>
    <w:basedOn w:val="Normln"/>
    <w:next w:val="Normln"/>
    <w:link w:val="Nadpis2Char"/>
    <w:uiPriority w:val="9"/>
    <w:unhideWhenUsed/>
    <w:qFormat/>
    <w:rsid w:val="00AB1AB4"/>
    <w:pPr>
      <w:keepNext/>
      <w:keepLines/>
      <w:spacing w:before="40" w:after="0"/>
      <w:outlineLvl w:val="1"/>
    </w:pPr>
    <w:rPr>
      <w:rFonts w:asciiTheme="majorHAnsi" w:eastAsiaTheme="majorEastAsia" w:hAnsiTheme="majorHAnsi" w:cstheme="majorBidi"/>
      <w:sz w:val="32"/>
      <w:szCs w:val="26"/>
    </w:rPr>
  </w:style>
  <w:style w:type="paragraph" w:styleId="Nadpis3">
    <w:name w:val="heading 3"/>
    <w:basedOn w:val="Normln"/>
    <w:next w:val="Normln"/>
    <w:link w:val="Nadpis3Char"/>
    <w:uiPriority w:val="9"/>
    <w:unhideWhenUsed/>
    <w:qFormat/>
    <w:rsid w:val="00AB1AB4"/>
    <w:pPr>
      <w:keepNext/>
      <w:keepLines/>
      <w:spacing w:before="40" w:after="0"/>
      <w:outlineLvl w:val="2"/>
    </w:pPr>
    <w:rPr>
      <w:rFonts w:asciiTheme="majorHAnsi" w:eastAsiaTheme="majorEastAsia" w:hAnsiTheme="majorHAnsi" w:cstheme="majorBidi"/>
      <w:sz w:val="24"/>
      <w:szCs w:val="24"/>
    </w:rPr>
  </w:style>
  <w:style w:type="paragraph" w:styleId="Nadpis4">
    <w:name w:val="heading 4"/>
    <w:basedOn w:val="Normln"/>
    <w:next w:val="Normln"/>
    <w:link w:val="Nadpis4Char"/>
    <w:uiPriority w:val="9"/>
    <w:semiHidden/>
    <w:unhideWhenUsed/>
    <w:rsid w:val="00776D65"/>
    <w:pPr>
      <w:keepNext/>
      <w:keepLines/>
      <w:spacing w:before="40" w:after="0"/>
      <w:outlineLvl w:val="3"/>
    </w:pPr>
    <w:rPr>
      <w:rFonts w:asciiTheme="majorHAnsi" w:eastAsiaTheme="majorEastAsia" w:hAnsiTheme="majorHAnsi" w:cstheme="majorBidi"/>
      <w:i/>
      <w:iCs/>
      <w:color w:val="CA550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AB4"/>
    <w:rPr>
      <w:rFonts w:asciiTheme="majorHAnsi" w:eastAsia="Times New Roman" w:hAnsiTheme="majorHAnsi" w:cs="Times New Roman"/>
      <w:b/>
      <w:bCs/>
      <w:kern w:val="36"/>
      <w:sz w:val="48"/>
      <w:szCs w:val="48"/>
      <w:lang w:eastAsia="cs-CZ"/>
    </w:rPr>
  </w:style>
  <w:style w:type="character" w:styleId="Hypertextovodkaz">
    <w:name w:val="Hyperlink"/>
    <w:basedOn w:val="Standardnpsmoodstavce"/>
    <w:uiPriority w:val="99"/>
    <w:unhideWhenUsed/>
    <w:rsid w:val="00776D65"/>
    <w:rPr>
      <w:color w:val="003C73" w:themeColor="hyperlink"/>
      <w:u w:val="single"/>
    </w:rPr>
  </w:style>
  <w:style w:type="character" w:styleId="Siln">
    <w:name w:val="Strong"/>
    <w:basedOn w:val="Standardnpsmoodstavce"/>
    <w:uiPriority w:val="22"/>
    <w:qFormat/>
    <w:rsid w:val="00776D65"/>
    <w:rPr>
      <w:b/>
      <w:bCs/>
    </w:rPr>
  </w:style>
  <w:style w:type="character" w:customStyle="1" w:styleId="Nadpis2Char">
    <w:name w:val="Nadpis 2 Char"/>
    <w:basedOn w:val="Standardnpsmoodstavce"/>
    <w:link w:val="Nadpis2"/>
    <w:uiPriority w:val="9"/>
    <w:rsid w:val="00AB1AB4"/>
    <w:rPr>
      <w:rFonts w:asciiTheme="majorHAnsi" w:eastAsiaTheme="majorEastAsia" w:hAnsiTheme="majorHAnsi" w:cstheme="majorBidi"/>
      <w:sz w:val="32"/>
      <w:szCs w:val="26"/>
    </w:rPr>
  </w:style>
  <w:style w:type="character" w:customStyle="1" w:styleId="Nadpis4Char">
    <w:name w:val="Nadpis 4 Char"/>
    <w:basedOn w:val="Standardnpsmoodstavce"/>
    <w:link w:val="Nadpis4"/>
    <w:uiPriority w:val="9"/>
    <w:semiHidden/>
    <w:rsid w:val="00776D65"/>
    <w:rPr>
      <w:rFonts w:asciiTheme="majorHAnsi" w:eastAsiaTheme="majorEastAsia" w:hAnsiTheme="majorHAnsi" w:cstheme="majorBidi"/>
      <w:i/>
      <w:iCs/>
      <w:color w:val="CA550A" w:themeColor="accent1" w:themeShade="BF"/>
    </w:rPr>
  </w:style>
  <w:style w:type="paragraph" w:styleId="Odstavecseseznamem">
    <w:name w:val="List Paragraph"/>
    <w:basedOn w:val="Normln"/>
    <w:uiPriority w:val="34"/>
    <w:qFormat/>
    <w:rsid w:val="00776D65"/>
    <w:pPr>
      <w:ind w:left="720"/>
      <w:contextualSpacing/>
    </w:pPr>
  </w:style>
  <w:style w:type="paragraph" w:styleId="Zhlav">
    <w:name w:val="header"/>
    <w:basedOn w:val="Normln"/>
    <w:link w:val="ZhlavChar"/>
    <w:uiPriority w:val="99"/>
    <w:unhideWhenUsed/>
    <w:rsid w:val="00605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702"/>
  </w:style>
  <w:style w:type="paragraph" w:styleId="Zpat">
    <w:name w:val="footer"/>
    <w:basedOn w:val="Normln"/>
    <w:link w:val="ZpatChar"/>
    <w:uiPriority w:val="99"/>
    <w:unhideWhenUsed/>
    <w:rsid w:val="00605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702"/>
  </w:style>
  <w:style w:type="character" w:customStyle="1" w:styleId="Nadpis3Char">
    <w:name w:val="Nadpis 3 Char"/>
    <w:basedOn w:val="Standardnpsmoodstavce"/>
    <w:link w:val="Nadpis3"/>
    <w:uiPriority w:val="9"/>
    <w:rsid w:val="00AB1AB4"/>
    <w:rPr>
      <w:rFonts w:asciiTheme="majorHAnsi" w:eastAsiaTheme="majorEastAsia" w:hAnsiTheme="majorHAnsi" w:cstheme="majorBidi"/>
      <w:sz w:val="24"/>
      <w:szCs w:val="24"/>
    </w:rPr>
  </w:style>
  <w:style w:type="paragraph" w:styleId="Bezmezer">
    <w:name w:val="No Spacing"/>
    <w:uiPriority w:val="1"/>
    <w:qFormat/>
    <w:rsid w:val="00DE0EDC"/>
    <w:pPr>
      <w:spacing w:after="0" w:line="240" w:lineRule="auto"/>
    </w:pPr>
    <w:rPr>
      <w:sz w:val="18"/>
    </w:rPr>
  </w:style>
  <w:style w:type="paragraph" w:styleId="Nzev">
    <w:name w:val="Title"/>
    <w:basedOn w:val="Normln"/>
    <w:next w:val="Normln"/>
    <w:link w:val="NzevChar"/>
    <w:uiPriority w:val="10"/>
    <w:qFormat/>
    <w:rsid w:val="00317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7CC4"/>
    <w:rPr>
      <w:rFonts w:asciiTheme="majorHAnsi" w:eastAsiaTheme="majorEastAsia" w:hAnsiTheme="majorHAnsi" w:cstheme="majorBidi"/>
      <w:spacing w:val="-10"/>
      <w:kern w:val="28"/>
      <w:sz w:val="56"/>
      <w:szCs w:val="56"/>
    </w:rPr>
  </w:style>
  <w:style w:type="paragraph" w:styleId="Vrazncitt">
    <w:name w:val="Intense Quote"/>
    <w:basedOn w:val="Normln"/>
    <w:next w:val="Normln"/>
    <w:link w:val="VrazncittChar"/>
    <w:uiPriority w:val="30"/>
    <w:qFormat/>
    <w:rsid w:val="00317CC4"/>
    <w:pPr>
      <w:pBdr>
        <w:top w:val="single" w:sz="18" w:space="10" w:color="FFC832" w:themeColor="background2"/>
        <w:left w:val="single" w:sz="18" w:space="4" w:color="FFC832" w:themeColor="background2"/>
        <w:bottom w:val="single" w:sz="18" w:space="10" w:color="FFC832" w:themeColor="background2"/>
        <w:right w:val="single" w:sz="18" w:space="4" w:color="FFC832" w:themeColor="background2"/>
      </w:pBdr>
      <w:shd w:val="clear" w:color="auto" w:fill="FFC832" w:themeFill="background2"/>
      <w:spacing w:before="360" w:after="360"/>
      <w:ind w:left="864" w:right="864"/>
      <w:jc w:val="center"/>
    </w:pPr>
    <w:rPr>
      <w:i/>
      <w:iCs/>
      <w:color w:val="000000" w:themeColor="text1"/>
    </w:rPr>
  </w:style>
  <w:style w:type="character" w:customStyle="1" w:styleId="VrazncittChar">
    <w:name w:val="Výrazný citát Char"/>
    <w:basedOn w:val="Standardnpsmoodstavce"/>
    <w:link w:val="Vrazncitt"/>
    <w:uiPriority w:val="30"/>
    <w:rsid w:val="00317CC4"/>
    <w:rPr>
      <w:i/>
      <w:iCs/>
      <w:color w:val="000000" w:themeColor="text1"/>
      <w:shd w:val="clear" w:color="auto" w:fill="FFC832" w:themeFill="background2"/>
    </w:rPr>
  </w:style>
  <w:style w:type="character" w:styleId="Odkazintenzivn">
    <w:name w:val="Intense Reference"/>
    <w:basedOn w:val="Standardnpsmoodstavce"/>
    <w:uiPriority w:val="32"/>
    <w:qFormat/>
    <w:rsid w:val="008969A5"/>
    <w:rPr>
      <w:b/>
      <w:bCs/>
      <w:smallCaps/>
      <w:color w:val="F47929" w:themeColor="accent1"/>
      <w:spacing w:val="5"/>
    </w:rPr>
  </w:style>
  <w:style w:type="character" w:styleId="Odkazjemn">
    <w:name w:val="Subtle Reference"/>
    <w:basedOn w:val="Standardnpsmoodstavce"/>
    <w:uiPriority w:val="31"/>
    <w:qFormat/>
    <w:rsid w:val="008969A5"/>
    <w:rPr>
      <w:smallCaps/>
      <w:color w:val="5A5A5A" w:themeColor="text1" w:themeTint="A5"/>
    </w:rPr>
  </w:style>
  <w:style w:type="table" w:styleId="Mkatabulky">
    <w:name w:val="Table Grid"/>
    <w:basedOn w:val="Normlntabulka"/>
    <w:uiPriority w:val="39"/>
    <w:rsid w:val="0089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228AC"/>
    <w:rPr>
      <w:sz w:val="16"/>
      <w:szCs w:val="16"/>
    </w:rPr>
  </w:style>
  <w:style w:type="paragraph" w:styleId="Textkomente">
    <w:name w:val="annotation text"/>
    <w:basedOn w:val="Normln"/>
    <w:link w:val="TextkomenteChar"/>
    <w:uiPriority w:val="99"/>
    <w:semiHidden/>
    <w:unhideWhenUsed/>
    <w:rsid w:val="005228AC"/>
    <w:pPr>
      <w:spacing w:line="240" w:lineRule="auto"/>
    </w:pPr>
    <w:rPr>
      <w:sz w:val="20"/>
      <w:szCs w:val="20"/>
    </w:rPr>
  </w:style>
  <w:style w:type="character" w:customStyle="1" w:styleId="TextkomenteChar">
    <w:name w:val="Text komentáře Char"/>
    <w:basedOn w:val="Standardnpsmoodstavce"/>
    <w:link w:val="Textkomente"/>
    <w:uiPriority w:val="99"/>
    <w:semiHidden/>
    <w:rsid w:val="005228AC"/>
    <w:rPr>
      <w:sz w:val="20"/>
      <w:szCs w:val="20"/>
    </w:rPr>
  </w:style>
  <w:style w:type="paragraph" w:styleId="Pedmtkomente">
    <w:name w:val="annotation subject"/>
    <w:basedOn w:val="Textkomente"/>
    <w:next w:val="Textkomente"/>
    <w:link w:val="PedmtkomenteChar"/>
    <w:uiPriority w:val="99"/>
    <w:semiHidden/>
    <w:unhideWhenUsed/>
    <w:rsid w:val="005228AC"/>
    <w:rPr>
      <w:b/>
      <w:bCs/>
    </w:rPr>
  </w:style>
  <w:style w:type="character" w:customStyle="1" w:styleId="PedmtkomenteChar">
    <w:name w:val="Předmět komentáře Char"/>
    <w:basedOn w:val="TextkomenteChar"/>
    <w:link w:val="Pedmtkomente"/>
    <w:uiPriority w:val="99"/>
    <w:semiHidden/>
    <w:rsid w:val="005228AC"/>
    <w:rPr>
      <w:b/>
      <w:bCs/>
      <w:sz w:val="20"/>
      <w:szCs w:val="20"/>
    </w:rPr>
  </w:style>
  <w:style w:type="character" w:customStyle="1" w:styleId="Nevyeenzmnka1">
    <w:name w:val="Nevyřešená zmínka1"/>
    <w:basedOn w:val="Standardnpsmoodstavce"/>
    <w:uiPriority w:val="99"/>
    <w:semiHidden/>
    <w:unhideWhenUsed/>
    <w:rsid w:val="005228AC"/>
    <w:rPr>
      <w:color w:val="605E5C"/>
      <w:shd w:val="clear" w:color="auto" w:fill="E1DFDD"/>
    </w:rPr>
  </w:style>
  <w:style w:type="paragraph" w:styleId="Textbubliny">
    <w:name w:val="Balloon Text"/>
    <w:basedOn w:val="Normln"/>
    <w:link w:val="TextbublinyChar"/>
    <w:uiPriority w:val="99"/>
    <w:semiHidden/>
    <w:unhideWhenUsed/>
    <w:rsid w:val="000F0A0B"/>
    <w:pPr>
      <w:spacing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0F0A0B"/>
    <w:rPr>
      <w:rFonts w:ascii="Segoe UI" w:hAnsi="Segoe UI" w:cs="Segoe UI"/>
      <w:sz w:val="18"/>
      <w:szCs w:val="18"/>
    </w:rPr>
  </w:style>
  <w:style w:type="character" w:styleId="Sledovanodkaz">
    <w:name w:val="FollowedHyperlink"/>
    <w:basedOn w:val="Standardnpsmoodstavce"/>
    <w:uiPriority w:val="99"/>
    <w:semiHidden/>
    <w:unhideWhenUsed/>
    <w:rsid w:val="00512185"/>
    <w:rPr>
      <w:color w:val="00284E" w:themeColor="followedHyperlink"/>
      <w:u w:val="single"/>
    </w:rPr>
  </w:style>
  <w:style w:type="paragraph" w:styleId="Revize">
    <w:name w:val="Revision"/>
    <w:hidden/>
    <w:uiPriority w:val="99"/>
    <w:semiHidden/>
    <w:rsid w:val="00842547"/>
    <w:pPr>
      <w:spacing w:after="0" w:line="240" w:lineRule="auto"/>
    </w:pPr>
    <w:rPr>
      <w:sz w:val="18"/>
    </w:rPr>
  </w:style>
  <w:style w:type="paragraph" w:styleId="Textpoznpodarou">
    <w:name w:val="footnote text"/>
    <w:basedOn w:val="Normln"/>
    <w:link w:val="TextpoznpodarouChar"/>
    <w:uiPriority w:val="99"/>
    <w:semiHidden/>
    <w:unhideWhenUsed/>
    <w:rsid w:val="00381E6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1E65"/>
    <w:rPr>
      <w:sz w:val="20"/>
      <w:szCs w:val="20"/>
    </w:rPr>
  </w:style>
  <w:style w:type="character" w:styleId="Znakapoznpodarou">
    <w:name w:val="footnote reference"/>
    <w:basedOn w:val="Standardnpsmoodstavce"/>
    <w:uiPriority w:val="99"/>
    <w:semiHidden/>
    <w:unhideWhenUsed/>
    <w:rsid w:val="00381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55">
      <w:bodyDiv w:val="1"/>
      <w:marLeft w:val="0"/>
      <w:marRight w:val="0"/>
      <w:marTop w:val="0"/>
      <w:marBottom w:val="0"/>
      <w:divBdr>
        <w:top w:val="none" w:sz="0" w:space="0" w:color="auto"/>
        <w:left w:val="none" w:sz="0" w:space="0" w:color="auto"/>
        <w:bottom w:val="none" w:sz="0" w:space="0" w:color="auto"/>
        <w:right w:val="none" w:sz="0" w:space="0" w:color="auto"/>
      </w:divBdr>
    </w:div>
    <w:div w:id="26640163">
      <w:bodyDiv w:val="1"/>
      <w:marLeft w:val="0"/>
      <w:marRight w:val="0"/>
      <w:marTop w:val="0"/>
      <w:marBottom w:val="0"/>
      <w:divBdr>
        <w:top w:val="none" w:sz="0" w:space="0" w:color="auto"/>
        <w:left w:val="none" w:sz="0" w:space="0" w:color="auto"/>
        <w:bottom w:val="none" w:sz="0" w:space="0" w:color="auto"/>
        <w:right w:val="none" w:sz="0" w:space="0" w:color="auto"/>
      </w:divBdr>
    </w:div>
    <w:div w:id="82142778">
      <w:bodyDiv w:val="1"/>
      <w:marLeft w:val="0"/>
      <w:marRight w:val="0"/>
      <w:marTop w:val="0"/>
      <w:marBottom w:val="0"/>
      <w:divBdr>
        <w:top w:val="none" w:sz="0" w:space="0" w:color="auto"/>
        <w:left w:val="none" w:sz="0" w:space="0" w:color="auto"/>
        <w:bottom w:val="none" w:sz="0" w:space="0" w:color="auto"/>
        <w:right w:val="none" w:sz="0" w:space="0" w:color="auto"/>
      </w:divBdr>
    </w:div>
    <w:div w:id="368340480">
      <w:bodyDiv w:val="1"/>
      <w:marLeft w:val="0"/>
      <w:marRight w:val="0"/>
      <w:marTop w:val="0"/>
      <w:marBottom w:val="0"/>
      <w:divBdr>
        <w:top w:val="none" w:sz="0" w:space="0" w:color="auto"/>
        <w:left w:val="none" w:sz="0" w:space="0" w:color="auto"/>
        <w:bottom w:val="none" w:sz="0" w:space="0" w:color="auto"/>
        <w:right w:val="none" w:sz="0" w:space="0" w:color="auto"/>
      </w:divBdr>
    </w:div>
    <w:div w:id="399792451">
      <w:bodyDiv w:val="1"/>
      <w:marLeft w:val="0"/>
      <w:marRight w:val="0"/>
      <w:marTop w:val="0"/>
      <w:marBottom w:val="0"/>
      <w:divBdr>
        <w:top w:val="none" w:sz="0" w:space="0" w:color="auto"/>
        <w:left w:val="none" w:sz="0" w:space="0" w:color="auto"/>
        <w:bottom w:val="none" w:sz="0" w:space="0" w:color="auto"/>
        <w:right w:val="none" w:sz="0" w:space="0" w:color="auto"/>
      </w:divBdr>
    </w:div>
    <w:div w:id="402610706">
      <w:bodyDiv w:val="1"/>
      <w:marLeft w:val="0"/>
      <w:marRight w:val="0"/>
      <w:marTop w:val="0"/>
      <w:marBottom w:val="0"/>
      <w:divBdr>
        <w:top w:val="none" w:sz="0" w:space="0" w:color="auto"/>
        <w:left w:val="none" w:sz="0" w:space="0" w:color="auto"/>
        <w:bottom w:val="none" w:sz="0" w:space="0" w:color="auto"/>
        <w:right w:val="none" w:sz="0" w:space="0" w:color="auto"/>
      </w:divBdr>
    </w:div>
    <w:div w:id="549658345">
      <w:bodyDiv w:val="1"/>
      <w:marLeft w:val="0"/>
      <w:marRight w:val="0"/>
      <w:marTop w:val="0"/>
      <w:marBottom w:val="0"/>
      <w:divBdr>
        <w:top w:val="none" w:sz="0" w:space="0" w:color="auto"/>
        <w:left w:val="none" w:sz="0" w:space="0" w:color="auto"/>
        <w:bottom w:val="none" w:sz="0" w:space="0" w:color="auto"/>
        <w:right w:val="none" w:sz="0" w:space="0" w:color="auto"/>
      </w:divBdr>
    </w:div>
    <w:div w:id="692877284">
      <w:bodyDiv w:val="1"/>
      <w:marLeft w:val="0"/>
      <w:marRight w:val="0"/>
      <w:marTop w:val="0"/>
      <w:marBottom w:val="0"/>
      <w:divBdr>
        <w:top w:val="none" w:sz="0" w:space="0" w:color="auto"/>
        <w:left w:val="none" w:sz="0" w:space="0" w:color="auto"/>
        <w:bottom w:val="none" w:sz="0" w:space="0" w:color="auto"/>
        <w:right w:val="none" w:sz="0" w:space="0" w:color="auto"/>
      </w:divBdr>
    </w:div>
    <w:div w:id="984623326">
      <w:bodyDiv w:val="1"/>
      <w:marLeft w:val="0"/>
      <w:marRight w:val="0"/>
      <w:marTop w:val="0"/>
      <w:marBottom w:val="0"/>
      <w:divBdr>
        <w:top w:val="none" w:sz="0" w:space="0" w:color="auto"/>
        <w:left w:val="none" w:sz="0" w:space="0" w:color="auto"/>
        <w:bottom w:val="none" w:sz="0" w:space="0" w:color="auto"/>
        <w:right w:val="none" w:sz="0" w:space="0" w:color="auto"/>
      </w:divBdr>
    </w:div>
    <w:div w:id="1028677548">
      <w:bodyDiv w:val="1"/>
      <w:marLeft w:val="0"/>
      <w:marRight w:val="0"/>
      <w:marTop w:val="0"/>
      <w:marBottom w:val="0"/>
      <w:divBdr>
        <w:top w:val="none" w:sz="0" w:space="0" w:color="auto"/>
        <w:left w:val="none" w:sz="0" w:space="0" w:color="auto"/>
        <w:bottom w:val="none" w:sz="0" w:space="0" w:color="auto"/>
        <w:right w:val="none" w:sz="0" w:space="0" w:color="auto"/>
      </w:divBdr>
    </w:div>
    <w:div w:id="1194997379">
      <w:bodyDiv w:val="1"/>
      <w:marLeft w:val="0"/>
      <w:marRight w:val="0"/>
      <w:marTop w:val="0"/>
      <w:marBottom w:val="0"/>
      <w:divBdr>
        <w:top w:val="none" w:sz="0" w:space="0" w:color="auto"/>
        <w:left w:val="none" w:sz="0" w:space="0" w:color="auto"/>
        <w:bottom w:val="none" w:sz="0" w:space="0" w:color="auto"/>
        <w:right w:val="none" w:sz="0" w:space="0" w:color="auto"/>
      </w:divBdr>
    </w:div>
    <w:div w:id="1296450998">
      <w:bodyDiv w:val="1"/>
      <w:marLeft w:val="0"/>
      <w:marRight w:val="0"/>
      <w:marTop w:val="0"/>
      <w:marBottom w:val="0"/>
      <w:divBdr>
        <w:top w:val="none" w:sz="0" w:space="0" w:color="auto"/>
        <w:left w:val="none" w:sz="0" w:space="0" w:color="auto"/>
        <w:bottom w:val="none" w:sz="0" w:space="0" w:color="auto"/>
        <w:right w:val="none" w:sz="0" w:space="0" w:color="auto"/>
      </w:divBdr>
    </w:div>
    <w:div w:id="1588415125">
      <w:bodyDiv w:val="1"/>
      <w:marLeft w:val="0"/>
      <w:marRight w:val="0"/>
      <w:marTop w:val="0"/>
      <w:marBottom w:val="0"/>
      <w:divBdr>
        <w:top w:val="none" w:sz="0" w:space="0" w:color="auto"/>
        <w:left w:val="none" w:sz="0" w:space="0" w:color="auto"/>
        <w:bottom w:val="none" w:sz="0" w:space="0" w:color="auto"/>
        <w:right w:val="none" w:sz="0" w:space="0" w:color="auto"/>
      </w:divBdr>
    </w:div>
    <w:div w:id="1691561526">
      <w:bodyDiv w:val="1"/>
      <w:marLeft w:val="0"/>
      <w:marRight w:val="0"/>
      <w:marTop w:val="0"/>
      <w:marBottom w:val="0"/>
      <w:divBdr>
        <w:top w:val="none" w:sz="0" w:space="0" w:color="auto"/>
        <w:left w:val="none" w:sz="0" w:space="0" w:color="auto"/>
        <w:bottom w:val="none" w:sz="0" w:space="0" w:color="auto"/>
        <w:right w:val="none" w:sz="0" w:space="0" w:color="auto"/>
      </w:divBdr>
    </w:div>
    <w:div w:id="1727798597">
      <w:bodyDiv w:val="1"/>
      <w:marLeft w:val="0"/>
      <w:marRight w:val="0"/>
      <w:marTop w:val="0"/>
      <w:marBottom w:val="0"/>
      <w:divBdr>
        <w:top w:val="none" w:sz="0" w:space="0" w:color="auto"/>
        <w:left w:val="none" w:sz="0" w:space="0" w:color="auto"/>
        <w:bottom w:val="none" w:sz="0" w:space="0" w:color="auto"/>
        <w:right w:val="none" w:sz="0" w:space="0" w:color="auto"/>
      </w:divBdr>
    </w:div>
    <w:div w:id="1765880640">
      <w:bodyDiv w:val="1"/>
      <w:marLeft w:val="0"/>
      <w:marRight w:val="0"/>
      <w:marTop w:val="0"/>
      <w:marBottom w:val="0"/>
      <w:divBdr>
        <w:top w:val="none" w:sz="0" w:space="0" w:color="auto"/>
        <w:left w:val="none" w:sz="0" w:space="0" w:color="auto"/>
        <w:bottom w:val="none" w:sz="0" w:space="0" w:color="auto"/>
        <w:right w:val="none" w:sz="0" w:space="0" w:color="auto"/>
      </w:divBdr>
    </w:div>
    <w:div w:id="20143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cyrrus.cz/" TargetMode="External"/><Relationship Id="rId20" Type="http://schemas.openxmlformats.org/officeDocument/2006/relationships/hyperlink" Target="https://drive.google.com/drive/folders/1Pb9tUOEcdhfonu6zVTjV4m31ie-IyX8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rive.google.com/drive/folders/1vJynKESL_uoi_KOQQVqono-903qtLnsU?usp=sharing" TargetMode="External"/><Relationship Id="rId10" Type="http://schemas.openxmlformats.org/officeDocument/2006/relationships/chart" Target="charts/chart3.xml"/><Relationship Id="rId19" Type="http://schemas.openxmlformats.org/officeDocument/2006/relationships/hyperlink" Target="https://drive.google.com/drive/folders/1P3hMpirSa6iyRyoOgXS0_zrCmPe6vQtG?usp=sharin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rive.google.com/drive/folders/1gDkeWiLU3qJzaTgRJrZ8pGLI6RAL4CKL?usp=shar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t.hradil\Downloads\CYRRUS-Hlavickovy_papir_2021%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3C72"/>
            </a:solidFill>
            <a:ln>
              <a:noFill/>
            </a:ln>
            <a:effectLst/>
          </c:spPr>
          <c:invertIfNegative val="0"/>
          <c:dPt>
            <c:idx val="13"/>
            <c:invertIfNegative val="0"/>
            <c:bubble3D val="0"/>
            <c:spPr>
              <a:solidFill>
                <a:srgbClr val="FFD82C"/>
              </a:solidFill>
              <a:ln>
                <a:noFill/>
              </a:ln>
              <a:effectLst/>
            </c:spPr>
            <c:extLst>
              <c:ext xmlns:c16="http://schemas.microsoft.com/office/drawing/2014/chart" uri="{C3380CC4-5D6E-409C-BE32-E72D297353CC}">
                <c16:uniqueId val="{00000002-391B-41C1-847B-C7678C135C77}"/>
              </c:ext>
            </c:extLst>
          </c:dPt>
          <c:dPt>
            <c:idx val="27"/>
            <c:invertIfNegative val="0"/>
            <c:bubble3D val="0"/>
            <c:spPr>
              <a:solidFill>
                <a:srgbClr val="F39313"/>
              </a:solidFill>
              <a:ln>
                <a:noFill/>
              </a:ln>
              <a:effectLst/>
            </c:spPr>
            <c:extLst>
              <c:ext xmlns:c16="http://schemas.microsoft.com/office/drawing/2014/chart" uri="{C3380CC4-5D6E-409C-BE32-E72D297353CC}">
                <c16:uniqueId val="{00000001-391B-41C1-847B-C7678C135C77}"/>
              </c:ext>
            </c:extLst>
          </c:dPt>
          <c:cat>
            <c:strRef>
              <c:f>List1!$A$1:$A$28</c:f>
              <c:strCache>
                <c:ptCount val="28"/>
                <c:pt idx="0">
                  <c:v>Irsko</c:v>
                </c:pt>
                <c:pt idx="1">
                  <c:v>Belgie</c:v>
                </c:pt>
                <c:pt idx="2">
                  <c:v>Portugalsko</c:v>
                </c:pt>
                <c:pt idx="3">
                  <c:v>Litva</c:v>
                </c:pt>
                <c:pt idx="4">
                  <c:v>Dánsko</c:v>
                </c:pt>
                <c:pt idx="5">
                  <c:v>Nizozemí</c:v>
                </c:pt>
                <c:pt idx="6">
                  <c:v>Rakousko</c:v>
                </c:pt>
                <c:pt idx="7">
                  <c:v>Finsko</c:v>
                </c:pt>
                <c:pt idx="8">
                  <c:v>Polsko</c:v>
                </c:pt>
                <c:pt idx="9">
                  <c:v>Francie</c:v>
                </c:pt>
                <c:pt idx="10">
                  <c:v>Španělsko</c:v>
                </c:pt>
                <c:pt idx="11">
                  <c:v>Slovinsko</c:v>
                </c:pt>
                <c:pt idx="12">
                  <c:v>Kypr</c:v>
                </c:pt>
                <c:pt idx="13">
                  <c:v>EU27</c:v>
                </c:pt>
                <c:pt idx="14">
                  <c:v>Bulharsko</c:v>
                </c:pt>
                <c:pt idx="15">
                  <c:v>Německo</c:v>
                </c:pt>
                <c:pt idx="16">
                  <c:v>Lucembursko</c:v>
                </c:pt>
                <c:pt idx="17">
                  <c:v>Itálie</c:v>
                </c:pt>
                <c:pt idx="18">
                  <c:v>Lotyšsko</c:v>
                </c:pt>
                <c:pt idx="19">
                  <c:v>Malta</c:v>
                </c:pt>
                <c:pt idx="20">
                  <c:v>Chorvatsko</c:v>
                </c:pt>
                <c:pt idx="21">
                  <c:v>Slovensko</c:v>
                </c:pt>
                <c:pt idx="22">
                  <c:v>Řecko</c:v>
                </c:pt>
                <c:pt idx="23">
                  <c:v>Estonsko</c:v>
                </c:pt>
                <c:pt idx="24">
                  <c:v>Maďarsko</c:v>
                </c:pt>
                <c:pt idx="25">
                  <c:v>Švédsko</c:v>
                </c:pt>
                <c:pt idx="26">
                  <c:v>Rumunsko</c:v>
                </c:pt>
                <c:pt idx="27">
                  <c:v>Česko</c:v>
                </c:pt>
              </c:strCache>
            </c:strRef>
          </c:cat>
          <c:val>
            <c:numRef>
              <c:f>List1!$B$1:$B$28</c:f>
              <c:numCache>
                <c:formatCode>0.0%</c:formatCode>
                <c:ptCount val="28"/>
                <c:pt idx="0">
                  <c:v>-9.5074455899198163E-2</c:v>
                </c:pt>
                <c:pt idx="1">
                  <c:v>-6.9115958668197419E-2</c:v>
                </c:pt>
                <c:pt idx="2">
                  <c:v>1.6633316658329234E-2</c:v>
                </c:pt>
                <c:pt idx="3">
                  <c:v>3.8289459993757324E-2</c:v>
                </c:pt>
                <c:pt idx="4">
                  <c:v>5.7831325301204828E-2</c:v>
                </c:pt>
                <c:pt idx="5">
                  <c:v>6.1622301404317792E-2</c:v>
                </c:pt>
                <c:pt idx="6">
                  <c:v>6.7934224049331915E-2</c:v>
                </c:pt>
                <c:pt idx="7">
                  <c:v>7.3994867408041065E-2</c:v>
                </c:pt>
                <c:pt idx="8">
                  <c:v>7.6829268292682995E-2</c:v>
                </c:pt>
                <c:pt idx="9">
                  <c:v>7.9431259354286743E-2</c:v>
                </c:pt>
                <c:pt idx="10">
                  <c:v>8.9323098394975542E-2</c:v>
                </c:pt>
                <c:pt idx="11">
                  <c:v>9.2579908675799016E-2</c:v>
                </c:pt>
                <c:pt idx="12">
                  <c:v>0.10565227760553308</c:v>
                </c:pt>
                <c:pt idx="13">
                  <c:v>0.11392953929539296</c:v>
                </c:pt>
                <c:pt idx="14">
                  <c:v>0.1153372975189666</c:v>
                </c:pt>
                <c:pt idx="15">
                  <c:v>0.11964107676969093</c:v>
                </c:pt>
                <c:pt idx="16">
                  <c:v>0.1249864145201609</c:v>
                </c:pt>
                <c:pt idx="17">
                  <c:v>0.1294797687861271</c:v>
                </c:pt>
                <c:pt idx="18">
                  <c:v>0.15584970111016228</c:v>
                </c:pt>
                <c:pt idx="19">
                  <c:v>0.15643973646815668</c:v>
                </c:pt>
                <c:pt idx="20">
                  <c:v>0.1864483342744212</c:v>
                </c:pt>
                <c:pt idx="21">
                  <c:v>0.19426285491267459</c:v>
                </c:pt>
                <c:pt idx="22">
                  <c:v>0.20661468812877271</c:v>
                </c:pt>
                <c:pt idx="23">
                  <c:v>0.21557774043688838</c:v>
                </c:pt>
                <c:pt idx="24">
                  <c:v>0.22433385579937304</c:v>
                </c:pt>
                <c:pt idx="25">
                  <c:v>0.28582010582010597</c:v>
                </c:pt>
                <c:pt idx="26">
                  <c:v>0.33033769063180851</c:v>
                </c:pt>
                <c:pt idx="27">
                  <c:v>0.49270833333333353</c:v>
                </c:pt>
              </c:numCache>
            </c:numRef>
          </c:val>
          <c:extLst>
            <c:ext xmlns:c16="http://schemas.microsoft.com/office/drawing/2014/chart" uri="{C3380CC4-5D6E-409C-BE32-E72D297353CC}">
              <c16:uniqueId val="{00000000-391B-41C1-847B-C7678C135C77}"/>
            </c:ext>
          </c:extLst>
        </c:ser>
        <c:dLbls>
          <c:showLegendKey val="0"/>
          <c:showVal val="0"/>
          <c:showCatName val="0"/>
          <c:showSerName val="0"/>
          <c:showPercent val="0"/>
          <c:showBubbleSize val="0"/>
        </c:dLbls>
        <c:gapWidth val="182"/>
        <c:axId val="1518239488"/>
        <c:axId val="1518246976"/>
      </c:barChart>
      <c:catAx>
        <c:axId val="151823948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518246976"/>
        <c:crosses val="autoZero"/>
        <c:auto val="1"/>
        <c:lblAlgn val="ctr"/>
        <c:lblOffset val="100"/>
        <c:noMultiLvlLbl val="0"/>
      </c:catAx>
      <c:valAx>
        <c:axId val="1518246976"/>
        <c:scaling>
          <c:orientation val="minMax"/>
          <c:max val="0.5"/>
          <c:min val="-0.2"/>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518239488"/>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3C72"/>
            </a:solidFill>
            <a:ln>
              <a:noFill/>
            </a:ln>
            <a:effectLst/>
          </c:spPr>
          <c:invertIfNegative val="0"/>
          <c:dPt>
            <c:idx val="13"/>
            <c:invertIfNegative val="0"/>
            <c:bubble3D val="0"/>
            <c:spPr>
              <a:solidFill>
                <a:srgbClr val="FFD82C"/>
              </a:solidFill>
              <a:ln>
                <a:noFill/>
              </a:ln>
              <a:effectLst/>
            </c:spPr>
            <c:extLst>
              <c:ext xmlns:c16="http://schemas.microsoft.com/office/drawing/2014/chart" uri="{C3380CC4-5D6E-409C-BE32-E72D297353CC}">
                <c16:uniqueId val="{00000002-9769-40D3-82FF-D8CFAC7C893E}"/>
              </c:ext>
            </c:extLst>
          </c:dPt>
          <c:dPt>
            <c:idx val="27"/>
            <c:invertIfNegative val="0"/>
            <c:bubble3D val="0"/>
            <c:spPr>
              <a:solidFill>
                <a:srgbClr val="F39313"/>
              </a:solidFill>
              <a:ln>
                <a:noFill/>
              </a:ln>
              <a:effectLst/>
            </c:spPr>
            <c:extLst>
              <c:ext xmlns:c16="http://schemas.microsoft.com/office/drawing/2014/chart" uri="{C3380CC4-5D6E-409C-BE32-E72D297353CC}">
                <c16:uniqueId val="{00000001-9769-40D3-82FF-D8CFAC7C893E}"/>
              </c:ext>
            </c:extLst>
          </c:dPt>
          <c:cat>
            <c:strRef>
              <c:f>List2!$A$1:$A$28</c:f>
              <c:strCache>
                <c:ptCount val="28"/>
                <c:pt idx="0">
                  <c:v>Irsko</c:v>
                </c:pt>
                <c:pt idx="1">
                  <c:v>Řecko</c:v>
                </c:pt>
                <c:pt idx="2">
                  <c:v>Malta</c:v>
                </c:pt>
                <c:pt idx="3">
                  <c:v>Dánsko</c:v>
                </c:pt>
                <c:pt idx="4">
                  <c:v>Portugalsko</c:v>
                </c:pt>
                <c:pt idx="5">
                  <c:v>Španělsko</c:v>
                </c:pt>
                <c:pt idx="6">
                  <c:v>Chorvatsko</c:v>
                </c:pt>
                <c:pt idx="7">
                  <c:v>Nizozemí</c:v>
                </c:pt>
                <c:pt idx="8">
                  <c:v>Švédsko</c:v>
                </c:pt>
                <c:pt idx="9">
                  <c:v>Německo</c:v>
                </c:pt>
                <c:pt idx="10">
                  <c:v>Francie</c:v>
                </c:pt>
                <c:pt idx="11">
                  <c:v>Slovinsko</c:v>
                </c:pt>
                <c:pt idx="12">
                  <c:v>Belgie</c:v>
                </c:pt>
                <c:pt idx="13">
                  <c:v>EU27</c:v>
                </c:pt>
                <c:pt idx="14">
                  <c:v>Kypr</c:v>
                </c:pt>
                <c:pt idx="15">
                  <c:v>Estonsko</c:v>
                </c:pt>
                <c:pt idx="16">
                  <c:v>Itálie</c:v>
                </c:pt>
                <c:pt idx="17">
                  <c:v>Finsko</c:v>
                </c:pt>
                <c:pt idx="18">
                  <c:v>Bulharsko</c:v>
                </c:pt>
                <c:pt idx="19">
                  <c:v>Lotyšsko</c:v>
                </c:pt>
                <c:pt idx="20">
                  <c:v>Rakousko</c:v>
                </c:pt>
                <c:pt idx="21">
                  <c:v>Litva</c:v>
                </c:pt>
                <c:pt idx="22">
                  <c:v>Slovensko</c:v>
                </c:pt>
                <c:pt idx="23">
                  <c:v>Lucembursko</c:v>
                </c:pt>
                <c:pt idx="24">
                  <c:v>Rumunsko</c:v>
                </c:pt>
                <c:pt idx="25">
                  <c:v>Polsko</c:v>
                </c:pt>
                <c:pt idx="26">
                  <c:v>Maďarsko</c:v>
                </c:pt>
                <c:pt idx="27">
                  <c:v>Česko</c:v>
                </c:pt>
              </c:strCache>
            </c:strRef>
          </c:cat>
          <c:val>
            <c:numRef>
              <c:f>List2!$B$1:$B$28</c:f>
              <c:numCache>
                <c:formatCode>0.0%</c:formatCode>
                <c:ptCount val="28"/>
                <c:pt idx="0">
                  <c:v>-0.22173913043478255</c:v>
                </c:pt>
                <c:pt idx="1">
                  <c:v>-3.4614893345254916E-2</c:v>
                </c:pt>
                <c:pt idx="2">
                  <c:v>-3.2823609623064187E-2</c:v>
                </c:pt>
                <c:pt idx="3">
                  <c:v>-1.4940239043824688E-2</c:v>
                </c:pt>
                <c:pt idx="4">
                  <c:v>3.4955603012251313E-2</c:v>
                </c:pt>
                <c:pt idx="5">
                  <c:v>6.5657100497723109E-2</c:v>
                </c:pt>
                <c:pt idx="6">
                  <c:v>9.7696839850026862E-2</c:v>
                </c:pt>
                <c:pt idx="7">
                  <c:v>9.9306243805748151E-2</c:v>
                </c:pt>
                <c:pt idx="8">
                  <c:v>0.10429680106000383</c:v>
                </c:pt>
                <c:pt idx="9">
                  <c:v>0.10849056603773577</c:v>
                </c:pt>
                <c:pt idx="10">
                  <c:v>0.11410664544369276</c:v>
                </c:pt>
                <c:pt idx="11">
                  <c:v>0.13021684646398612</c:v>
                </c:pt>
                <c:pt idx="12">
                  <c:v>0.13274068087685631</c:v>
                </c:pt>
                <c:pt idx="13">
                  <c:v>0.13806567881457754</c:v>
                </c:pt>
                <c:pt idx="14">
                  <c:v>0.13924505692031142</c:v>
                </c:pt>
                <c:pt idx="15">
                  <c:v>0.15715557313816642</c:v>
                </c:pt>
                <c:pt idx="16">
                  <c:v>0.16118769883351014</c:v>
                </c:pt>
                <c:pt idx="17">
                  <c:v>0.16468275636125385</c:v>
                </c:pt>
                <c:pt idx="18">
                  <c:v>0.17474216773691365</c:v>
                </c:pt>
                <c:pt idx="19">
                  <c:v>0.18151001540832046</c:v>
                </c:pt>
                <c:pt idx="20">
                  <c:v>0.196930176565008</c:v>
                </c:pt>
                <c:pt idx="21">
                  <c:v>0.21014422611557437</c:v>
                </c:pt>
                <c:pt idx="22">
                  <c:v>0.2236985622211205</c:v>
                </c:pt>
                <c:pt idx="23">
                  <c:v>0.22536634663971689</c:v>
                </c:pt>
                <c:pt idx="24">
                  <c:v>0.24583099119355434</c:v>
                </c:pt>
                <c:pt idx="25">
                  <c:v>0.2567049808429116</c:v>
                </c:pt>
                <c:pt idx="26">
                  <c:v>0.34154238618524313</c:v>
                </c:pt>
                <c:pt idx="27">
                  <c:v>0.48513011152416374</c:v>
                </c:pt>
              </c:numCache>
            </c:numRef>
          </c:val>
          <c:extLst>
            <c:ext xmlns:c16="http://schemas.microsoft.com/office/drawing/2014/chart" uri="{C3380CC4-5D6E-409C-BE32-E72D297353CC}">
              <c16:uniqueId val="{00000000-9769-40D3-82FF-D8CFAC7C893E}"/>
            </c:ext>
          </c:extLst>
        </c:ser>
        <c:dLbls>
          <c:showLegendKey val="0"/>
          <c:showVal val="0"/>
          <c:showCatName val="0"/>
          <c:showSerName val="0"/>
          <c:showPercent val="0"/>
          <c:showBubbleSize val="0"/>
        </c:dLbls>
        <c:gapWidth val="182"/>
        <c:axId val="1391069152"/>
        <c:axId val="1391071648"/>
      </c:barChart>
      <c:catAx>
        <c:axId val="139106915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391071648"/>
        <c:crosses val="autoZero"/>
        <c:auto val="1"/>
        <c:lblAlgn val="ctr"/>
        <c:lblOffset val="100"/>
        <c:noMultiLvlLbl val="0"/>
      </c:catAx>
      <c:valAx>
        <c:axId val="1391071648"/>
        <c:scaling>
          <c:orientation val="minMax"/>
          <c:max val="0.5"/>
          <c:min val="-0.30000000000000004"/>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391069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3C72"/>
            </a:solidFill>
            <a:ln>
              <a:noFill/>
            </a:ln>
            <a:effectLst/>
          </c:spPr>
          <c:invertIfNegative val="0"/>
          <c:dPt>
            <c:idx val="15"/>
            <c:invertIfNegative val="0"/>
            <c:bubble3D val="0"/>
            <c:spPr>
              <a:solidFill>
                <a:srgbClr val="FFD82C"/>
              </a:solidFill>
              <a:ln>
                <a:noFill/>
              </a:ln>
              <a:effectLst/>
            </c:spPr>
            <c:extLst>
              <c:ext xmlns:c16="http://schemas.microsoft.com/office/drawing/2014/chart" uri="{C3380CC4-5D6E-409C-BE32-E72D297353CC}">
                <c16:uniqueId val="{00000002-994F-449C-BC7E-06A50348533C}"/>
              </c:ext>
            </c:extLst>
          </c:dPt>
          <c:dPt>
            <c:idx val="27"/>
            <c:invertIfNegative val="0"/>
            <c:bubble3D val="0"/>
            <c:spPr>
              <a:solidFill>
                <a:srgbClr val="F39313"/>
              </a:solidFill>
              <a:ln>
                <a:noFill/>
              </a:ln>
              <a:effectLst/>
            </c:spPr>
            <c:extLst>
              <c:ext xmlns:c16="http://schemas.microsoft.com/office/drawing/2014/chart" uri="{C3380CC4-5D6E-409C-BE32-E72D297353CC}">
                <c16:uniqueId val="{00000001-994F-449C-BC7E-06A50348533C}"/>
              </c:ext>
            </c:extLst>
          </c:dPt>
          <c:cat>
            <c:strRef>
              <c:f>List3!$A$1:$A$28</c:f>
              <c:strCache>
                <c:ptCount val="28"/>
                <c:pt idx="0">
                  <c:v>Estonsko</c:v>
                </c:pt>
                <c:pt idx="1">
                  <c:v>Belgie</c:v>
                </c:pt>
                <c:pt idx="2">
                  <c:v>Lucembursko</c:v>
                </c:pt>
                <c:pt idx="3">
                  <c:v>Bulharsko</c:v>
                </c:pt>
                <c:pt idx="4">
                  <c:v>Portugalsko</c:v>
                </c:pt>
                <c:pt idx="5">
                  <c:v>Švédsko</c:v>
                </c:pt>
                <c:pt idx="6">
                  <c:v>Itálie</c:v>
                </c:pt>
                <c:pt idx="7">
                  <c:v>Španělsko</c:v>
                </c:pt>
                <c:pt idx="8">
                  <c:v>Irsko</c:v>
                </c:pt>
                <c:pt idx="9">
                  <c:v>Malta</c:v>
                </c:pt>
                <c:pt idx="10">
                  <c:v>Dánsko</c:v>
                </c:pt>
                <c:pt idx="11">
                  <c:v>Řecko</c:v>
                </c:pt>
                <c:pt idx="12">
                  <c:v>Polsko</c:v>
                </c:pt>
                <c:pt idx="13">
                  <c:v>Francie</c:v>
                </c:pt>
                <c:pt idx="14">
                  <c:v>Kypr</c:v>
                </c:pt>
                <c:pt idx="15">
                  <c:v>EU27</c:v>
                </c:pt>
                <c:pt idx="16">
                  <c:v>Chorvatsko</c:v>
                </c:pt>
                <c:pt idx="17">
                  <c:v>Lotyšsko</c:v>
                </c:pt>
                <c:pt idx="18">
                  <c:v>Slovinsko</c:v>
                </c:pt>
                <c:pt idx="19">
                  <c:v>Finsko</c:v>
                </c:pt>
                <c:pt idx="20">
                  <c:v>Německo</c:v>
                </c:pt>
                <c:pt idx="21">
                  <c:v>Litva</c:v>
                </c:pt>
                <c:pt idx="22">
                  <c:v>Slovensko</c:v>
                </c:pt>
                <c:pt idx="23">
                  <c:v>Rakousko</c:v>
                </c:pt>
                <c:pt idx="24">
                  <c:v>Nizozemí</c:v>
                </c:pt>
                <c:pt idx="25">
                  <c:v>Maďarsko</c:v>
                </c:pt>
                <c:pt idx="26">
                  <c:v>Rumunsko</c:v>
                </c:pt>
                <c:pt idx="27">
                  <c:v>Česko</c:v>
                </c:pt>
              </c:strCache>
            </c:strRef>
          </c:cat>
          <c:val>
            <c:numRef>
              <c:f>List3!$B$1:$B$28</c:f>
              <c:numCache>
                <c:formatCode>0.0%</c:formatCode>
                <c:ptCount val="28"/>
                <c:pt idx="0">
                  <c:v>-0.20357886995955388</c:v>
                </c:pt>
                <c:pt idx="1">
                  <c:v>-0.19154395359214638</c:v>
                </c:pt>
                <c:pt idx="2">
                  <c:v>-0.19071575577406807</c:v>
                </c:pt>
                <c:pt idx="3">
                  <c:v>-0.18738265114532482</c:v>
                </c:pt>
                <c:pt idx="4">
                  <c:v>-0.17641921397379912</c:v>
                </c:pt>
                <c:pt idx="5">
                  <c:v>-0.1761385020700037</c:v>
                </c:pt>
                <c:pt idx="6">
                  <c:v>-0.16743648960739033</c:v>
                </c:pt>
                <c:pt idx="7">
                  <c:v>-0.15969011620642259</c:v>
                </c:pt>
                <c:pt idx="8">
                  <c:v>-0.14434782608695651</c:v>
                </c:pt>
                <c:pt idx="9">
                  <c:v>-0.12454414852469886</c:v>
                </c:pt>
                <c:pt idx="10">
                  <c:v>-0.1061007957559682</c:v>
                </c:pt>
                <c:pt idx="11">
                  <c:v>-9.3828135280958014E-2</c:v>
                </c:pt>
                <c:pt idx="12">
                  <c:v>-7.2330654420206586E-2</c:v>
                </c:pt>
                <c:pt idx="13">
                  <c:v>-6.8758495695514399E-2</c:v>
                </c:pt>
                <c:pt idx="14">
                  <c:v>-6.1006935525301786E-2</c:v>
                </c:pt>
                <c:pt idx="15">
                  <c:v>-5.302251171294714E-2</c:v>
                </c:pt>
                <c:pt idx="16">
                  <c:v>-4.7664645175018561E-2</c:v>
                </c:pt>
                <c:pt idx="17">
                  <c:v>-4.6696472925981114E-2</c:v>
                </c:pt>
                <c:pt idx="18">
                  <c:v>-3.4801654903869772E-2</c:v>
                </c:pt>
                <c:pt idx="19">
                  <c:v>-2.5355104208150792E-2</c:v>
                </c:pt>
                <c:pt idx="20">
                  <c:v>4.3572984749455923E-3</c:v>
                </c:pt>
                <c:pt idx="21">
                  <c:v>9.2725466387018063E-3</c:v>
                </c:pt>
                <c:pt idx="22">
                  <c:v>1.3229488957644309E-2</c:v>
                </c:pt>
                <c:pt idx="23">
                  <c:v>2.5946630102309909E-2</c:v>
                </c:pt>
                <c:pt idx="24">
                  <c:v>5.2365792073773232E-2</c:v>
                </c:pt>
                <c:pt idx="25">
                  <c:v>6.7270992366412319E-2</c:v>
                </c:pt>
                <c:pt idx="26">
                  <c:v>0.19452435274278335</c:v>
                </c:pt>
                <c:pt idx="27">
                  <c:v>0.20050761421319785</c:v>
                </c:pt>
              </c:numCache>
            </c:numRef>
          </c:val>
          <c:extLst>
            <c:ext xmlns:c16="http://schemas.microsoft.com/office/drawing/2014/chart" uri="{C3380CC4-5D6E-409C-BE32-E72D297353CC}">
              <c16:uniqueId val="{00000000-994F-449C-BC7E-06A50348533C}"/>
            </c:ext>
          </c:extLst>
        </c:ser>
        <c:dLbls>
          <c:showLegendKey val="0"/>
          <c:showVal val="0"/>
          <c:showCatName val="0"/>
          <c:showSerName val="0"/>
          <c:showPercent val="0"/>
          <c:showBubbleSize val="0"/>
        </c:dLbls>
        <c:gapWidth val="182"/>
        <c:axId val="1521815408"/>
        <c:axId val="1521815824"/>
      </c:barChart>
      <c:catAx>
        <c:axId val="152181540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521815824"/>
        <c:crosses val="autoZero"/>
        <c:auto val="1"/>
        <c:lblAlgn val="ctr"/>
        <c:lblOffset val="100"/>
        <c:noMultiLvlLbl val="0"/>
      </c:catAx>
      <c:valAx>
        <c:axId val="1521815824"/>
        <c:scaling>
          <c:orientation val="minMax"/>
          <c:min val="-0.30000000000000004"/>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521815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3C72"/>
            </a:solidFill>
            <a:ln>
              <a:noFill/>
            </a:ln>
            <a:effectLst/>
          </c:spPr>
          <c:invertIfNegative val="0"/>
          <c:dPt>
            <c:idx val="12"/>
            <c:invertIfNegative val="0"/>
            <c:bubble3D val="0"/>
            <c:spPr>
              <a:solidFill>
                <a:srgbClr val="FFD82C"/>
              </a:solidFill>
              <a:ln>
                <a:noFill/>
              </a:ln>
              <a:effectLst/>
            </c:spPr>
            <c:extLst>
              <c:ext xmlns:c16="http://schemas.microsoft.com/office/drawing/2014/chart" uri="{C3380CC4-5D6E-409C-BE32-E72D297353CC}">
                <c16:uniqueId val="{00000002-4123-45C6-8312-20383A8DC83A}"/>
              </c:ext>
            </c:extLst>
          </c:dPt>
          <c:dPt>
            <c:idx val="27"/>
            <c:invertIfNegative val="0"/>
            <c:bubble3D val="0"/>
            <c:spPr>
              <a:solidFill>
                <a:srgbClr val="F39313"/>
              </a:solidFill>
              <a:ln>
                <a:noFill/>
              </a:ln>
              <a:effectLst/>
            </c:spPr>
            <c:extLst>
              <c:ext xmlns:c16="http://schemas.microsoft.com/office/drawing/2014/chart" uri="{C3380CC4-5D6E-409C-BE32-E72D297353CC}">
                <c16:uniqueId val="{00000001-4123-45C6-8312-20383A8DC83A}"/>
              </c:ext>
            </c:extLst>
          </c:dPt>
          <c:cat>
            <c:strRef>
              <c:f>List4!$A$1:$A$28</c:f>
              <c:strCache>
                <c:ptCount val="28"/>
                <c:pt idx="0">
                  <c:v>Malta</c:v>
                </c:pt>
                <c:pt idx="1">
                  <c:v>Finsko</c:v>
                </c:pt>
                <c:pt idx="2">
                  <c:v>Francie</c:v>
                </c:pt>
                <c:pt idx="3">
                  <c:v>Slovinsko</c:v>
                </c:pt>
                <c:pt idx="4">
                  <c:v>Dánsko</c:v>
                </c:pt>
                <c:pt idx="5">
                  <c:v>Estonsko</c:v>
                </c:pt>
                <c:pt idx="6">
                  <c:v>Německo</c:v>
                </c:pt>
                <c:pt idx="7">
                  <c:v>Řecko</c:v>
                </c:pt>
                <c:pt idx="8">
                  <c:v>Bulharsko</c:v>
                </c:pt>
                <c:pt idx="9">
                  <c:v>Belgie</c:v>
                </c:pt>
                <c:pt idx="10">
                  <c:v>Lucembursko</c:v>
                </c:pt>
                <c:pt idx="11">
                  <c:v>Švédsko</c:v>
                </c:pt>
                <c:pt idx="12">
                  <c:v>EU27</c:v>
                </c:pt>
                <c:pt idx="13">
                  <c:v>Itálie</c:v>
                </c:pt>
                <c:pt idx="14">
                  <c:v>Španělsko</c:v>
                </c:pt>
                <c:pt idx="15">
                  <c:v>Irsko</c:v>
                </c:pt>
                <c:pt idx="16">
                  <c:v>Slovensko</c:v>
                </c:pt>
                <c:pt idx="17">
                  <c:v>Kypr</c:v>
                </c:pt>
                <c:pt idx="18">
                  <c:v>Nizozemí</c:v>
                </c:pt>
                <c:pt idx="19">
                  <c:v>Rakousko</c:v>
                </c:pt>
                <c:pt idx="20">
                  <c:v>Lotyšsko</c:v>
                </c:pt>
                <c:pt idx="21">
                  <c:v>Portugalsko</c:v>
                </c:pt>
                <c:pt idx="22">
                  <c:v>Rumunsko</c:v>
                </c:pt>
                <c:pt idx="23">
                  <c:v>Litva</c:v>
                </c:pt>
                <c:pt idx="24">
                  <c:v>Maďarsko</c:v>
                </c:pt>
                <c:pt idx="25">
                  <c:v>Polsko</c:v>
                </c:pt>
                <c:pt idx="26">
                  <c:v>Chorvatsko</c:v>
                </c:pt>
                <c:pt idx="27">
                  <c:v>Česko</c:v>
                </c:pt>
              </c:strCache>
            </c:strRef>
          </c:cat>
          <c:val>
            <c:numRef>
              <c:f>List4!$B$1:$B$28</c:f>
              <c:numCache>
                <c:formatCode>0.0%</c:formatCode>
                <c:ptCount val="28"/>
                <c:pt idx="0">
                  <c:v>7.4673987645847761E-2</c:v>
                </c:pt>
                <c:pt idx="1">
                  <c:v>0.10777957860615861</c:v>
                </c:pt>
                <c:pt idx="2">
                  <c:v>0.12106647320214026</c:v>
                </c:pt>
                <c:pt idx="3">
                  <c:v>0.17988988175828147</c:v>
                </c:pt>
                <c:pt idx="4">
                  <c:v>0.21083172147001927</c:v>
                </c:pt>
                <c:pt idx="5">
                  <c:v>0.24158593828023567</c:v>
                </c:pt>
                <c:pt idx="6">
                  <c:v>0.24311926605504586</c:v>
                </c:pt>
                <c:pt idx="7">
                  <c:v>0.25730550284629983</c:v>
                </c:pt>
                <c:pt idx="8">
                  <c:v>0.26572539736219136</c:v>
                </c:pt>
                <c:pt idx="9">
                  <c:v>0.26603934987168509</c:v>
                </c:pt>
                <c:pt idx="10">
                  <c:v>0.28128802770757266</c:v>
                </c:pt>
                <c:pt idx="11">
                  <c:v>0.28246408946302903</c:v>
                </c:pt>
                <c:pt idx="12">
                  <c:v>0.29452774329099429</c:v>
                </c:pt>
                <c:pt idx="13">
                  <c:v>0.30864197530864201</c:v>
                </c:pt>
                <c:pt idx="14">
                  <c:v>0.31046228710462298</c:v>
                </c:pt>
                <c:pt idx="15">
                  <c:v>0.31716417910447747</c:v>
                </c:pt>
                <c:pt idx="16">
                  <c:v>0.32162162162162145</c:v>
                </c:pt>
                <c:pt idx="17">
                  <c:v>0.32191448007774537</c:v>
                </c:pt>
                <c:pt idx="18">
                  <c:v>0.34466538379302958</c:v>
                </c:pt>
                <c:pt idx="19">
                  <c:v>0.40985162180814361</c:v>
                </c:pt>
                <c:pt idx="20">
                  <c:v>0.41948658109684955</c:v>
                </c:pt>
                <c:pt idx="21">
                  <c:v>0.4234180368709517</c:v>
                </c:pt>
                <c:pt idx="22">
                  <c:v>0.44273245457784127</c:v>
                </c:pt>
                <c:pt idx="23">
                  <c:v>0.45281868969019801</c:v>
                </c:pt>
                <c:pt idx="24">
                  <c:v>0.49450830140485302</c:v>
                </c:pt>
                <c:pt idx="25">
                  <c:v>0.4981412639405205</c:v>
                </c:pt>
                <c:pt idx="26">
                  <c:v>0.53525869986733343</c:v>
                </c:pt>
                <c:pt idx="27">
                  <c:v>0.5831037649219466</c:v>
                </c:pt>
              </c:numCache>
            </c:numRef>
          </c:val>
          <c:extLst>
            <c:ext xmlns:c16="http://schemas.microsoft.com/office/drawing/2014/chart" uri="{C3380CC4-5D6E-409C-BE32-E72D297353CC}">
              <c16:uniqueId val="{00000000-4123-45C6-8312-20383A8DC83A}"/>
            </c:ext>
          </c:extLst>
        </c:ser>
        <c:dLbls>
          <c:showLegendKey val="0"/>
          <c:showVal val="0"/>
          <c:showCatName val="0"/>
          <c:showSerName val="0"/>
          <c:showPercent val="0"/>
          <c:showBubbleSize val="0"/>
        </c:dLbls>
        <c:gapWidth val="182"/>
        <c:axId val="1521809168"/>
        <c:axId val="1521812496"/>
      </c:barChart>
      <c:catAx>
        <c:axId val="1521809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521812496"/>
        <c:crosses val="autoZero"/>
        <c:auto val="1"/>
        <c:lblAlgn val="ctr"/>
        <c:lblOffset val="100"/>
        <c:noMultiLvlLbl val="0"/>
      </c:catAx>
      <c:valAx>
        <c:axId val="1521812496"/>
        <c:scaling>
          <c:orientation val="minMax"/>
          <c:max val="0.60000000000000009"/>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15218091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CYRRUS 2021">
      <a:dk1>
        <a:srgbClr val="000000"/>
      </a:dk1>
      <a:lt1>
        <a:sysClr val="window" lastClr="FFFFFF"/>
      </a:lt1>
      <a:dk2>
        <a:srgbClr val="F47929"/>
      </a:dk2>
      <a:lt2>
        <a:srgbClr val="FFC832"/>
      </a:lt2>
      <a:accent1>
        <a:srgbClr val="F47929"/>
      </a:accent1>
      <a:accent2>
        <a:srgbClr val="FFC832"/>
      </a:accent2>
      <a:accent3>
        <a:srgbClr val="036531"/>
      </a:accent3>
      <a:accent4>
        <a:srgbClr val="AF251A"/>
      </a:accent4>
      <a:accent5>
        <a:srgbClr val="B78A17"/>
      </a:accent5>
      <a:accent6>
        <a:srgbClr val="917F5F"/>
      </a:accent6>
      <a:hlink>
        <a:srgbClr val="003C73"/>
      </a:hlink>
      <a:folHlink>
        <a:srgbClr val="00284E"/>
      </a:folHlink>
    </a:clrScheme>
    <a:fontScheme name="CYRRUS 2021">
      <a:majorFont>
        <a:latin typeface="Nexa Extra Bold"/>
        <a:ea typeface=""/>
        <a:cs typeface=""/>
      </a:majorFont>
      <a:minorFont>
        <a:latin typeface="Nexa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BC05-7241-4D0B-90C3-9DE56409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CYRRUS-Hlavickovy_papir_2021 (2)</Template>
  <TotalTime>39</TotalTime>
  <Pages>1</Pages>
  <Words>1003</Words>
  <Characters>5921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Hradil Vít</dc:creator>
  <cp:keywords/>
  <dc:description/>
  <cp:lastModifiedBy>Hradil Vít</cp:lastModifiedBy>
  <cp:revision>7</cp:revision>
  <cp:lastPrinted>2024-06-05T20:07:00Z</cp:lastPrinted>
  <dcterms:created xsi:type="dcterms:W3CDTF">2025-03-18T15:20:00Z</dcterms:created>
  <dcterms:modified xsi:type="dcterms:W3CDTF">2025-03-19T09:30:00Z</dcterms:modified>
</cp:coreProperties>
</file>